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rPr>
          <w:highlight w:val="none"/>
        </w:rPr>
      </w:r>
    </w:p>
    <w:p>
      <w:pPr>
        <w:jc w:val="center"/>
        <w:pageBreakBefore w:val="0"/>
        <w:spacing w:before="120" w:after="120" w:line="240" w:lineRule="auto"/>
        <w:rPr>
          <w:rFonts w:hint="eastAsia" w:ascii="Arial" w:hAnsi="Arial" w:eastAsia="黑体"/>
          <w:b/>
          <w:bCs/>
          <w:color w:val="auto"/>
          <w:sz w:val="84"/>
          <w:szCs w:val="24"/>
          <w:highlight w:val="none"/>
        </w:rPr>
        <w:outlineLvl w:val="9"/>
      </w:pPr>
      <w:r>
        <w:rPr>
          <w:highlight w:val="none"/>
        </w:rPr>
      </w:r>
      <w:bookmarkStart w:id="0" w:name="_Toc14007"/>
      <w:r>
        <w:rPr>
          <w:rFonts w:hint="eastAsia" w:ascii="Arial" w:hAnsi="Arial" w:eastAsia="黑体"/>
          <w:b/>
          <w:bCs/>
          <w:color w:val="auto"/>
          <w:sz w:val="84"/>
          <w:szCs w:val="24"/>
          <w:highlight w:val="none"/>
        </w:rPr>
        <w:t xml:space="preserve">竞争性磋商文件</w:t>
      </w:r>
      <w:bookmarkEnd w:id="0"/>
      <w:r>
        <w:rPr>
          <w:highlight w:val="none"/>
        </w:rPr>
      </w:r>
      <w:r>
        <w:rPr>
          <w:highlight w:val="none"/>
        </w:rPr>
      </w:r>
    </w:p>
    <w:p>
      <w:pPr>
        <w:pStyle w:val="1083"/>
        <w:pageBreakBefore w:val="0"/>
        <w:spacing w:line="240" w:lineRule="auto"/>
        <w:rPr>
          <w:rFonts w:hint="eastAsia"/>
          <w:color w:val="auto"/>
          <w:highlight w:val="none"/>
        </w:rPr>
      </w:pPr>
      <w:r>
        <w:rPr>
          <w:rFonts w:hint="eastAsia"/>
          <w:color w:val="auto"/>
          <w:highlight w:val="none"/>
        </w:rPr>
      </w:r>
      <w:r>
        <w:rPr>
          <w:highlight w:val="none"/>
        </w:rPr>
      </w:r>
    </w:p>
    <w:p>
      <w:pPr>
        <w:pageBreakBefore w:val="0"/>
        <w:spacing w:line="240" w:lineRule="auto"/>
        <w:rPr>
          <w:rFonts w:hint="eastAsia"/>
          <w:color w:val="auto"/>
          <w:highlight w:val="none"/>
        </w:rPr>
      </w:pPr>
      <w:r>
        <w:rPr>
          <w:rFonts w:hint="eastAsia"/>
          <w:color w:val="auto"/>
          <w:highlight w:val="none"/>
        </w:rPr>
      </w:r>
      <w:r>
        <w:rPr>
          <w:highlight w:val="none"/>
        </w:rPr>
      </w:r>
    </w:p>
    <w:p>
      <w:pPr>
        <w:pStyle w:val="1083"/>
        <w:pageBreakBefore w:val="0"/>
        <w:spacing w:line="240" w:lineRule="auto"/>
        <w:rPr>
          <w:rFonts w:hint="eastAsia"/>
          <w:color w:val="auto"/>
          <w:highlight w:val="none"/>
        </w:rPr>
      </w:pPr>
      <w:r>
        <w:rPr>
          <w:rFonts w:hint="eastAsia"/>
          <w:color w:val="auto"/>
          <w:highlight w:val="none"/>
        </w:rPr>
      </w:r>
      <w:r>
        <w:rPr>
          <w:highlight w:val="none"/>
        </w:rPr>
      </w:r>
    </w:p>
    <w:p>
      <w:pPr>
        <w:ind w:left="2525" w:hanging="1807"/>
        <w:jc w:val="left"/>
        <w:pageBreakBefore w:val="0"/>
        <w:spacing w:before="120" w:after="120" w:line="240" w:lineRule="auto"/>
        <w:rPr>
          <w:rFonts w:hint="eastAsia" w:ascii="Arial" w:hAnsi="Arial"/>
          <w:b/>
          <w:bCs/>
          <w:color w:val="auto"/>
          <w:sz w:val="36"/>
          <w:szCs w:val="28"/>
          <w:highlight w:val="none"/>
          <w:u w:val="single"/>
        </w:rPr>
        <w:outlineLvl w:val="9"/>
      </w:pPr>
      <w:r>
        <w:rPr>
          <w:highlight w:val="none"/>
        </w:r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南通市第二人民医院无创脑深部神经电刺激系统采购项目</w:t>
      </w:r>
      <w:r>
        <w:rPr>
          <w:highlight w:val="none"/>
        </w:rP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JSZC-320600-RBGC-C2025-0050</w:t>
      </w:r>
      <w:r>
        <w:rPr>
          <w:rFonts w:hint="eastAsia" w:ascii="Arial" w:hAnsi="Arial"/>
          <w:b/>
          <w:bCs/>
          <w:color w:val="auto"/>
          <w:sz w:val="36"/>
          <w:szCs w:val="28"/>
          <w:highlight w:val="none"/>
        </w:rPr>
        <w:t xml:space="preserve"> </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rPr>
          <w:highlight w:val="none"/>
        </w:rP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rPr>
          <w:highlight w:val="none"/>
        </w:rP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1"/>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1" o:title=""/>
              </v:shape>
            </w:pict>
          </mc:Fallback>
        </mc:AlternateContent>
      </w:r>
      <w:r>
        <w:rPr>
          <w:highlight w:val="none"/>
        </w:rP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rPr>
          <w:highlight w:val="none"/>
        </w:rPr>
      </w:r>
    </w:p>
    <w:p>
      <w:pPr>
        <w:pStyle w:val="1083"/>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rPr>
          <w:highlight w:val="none"/>
        </w:rP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rPr>
          <w:highlight w:val="none"/>
        </w:rP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rPr>
          <w:highlight w:val="none"/>
        </w:rP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rPr>
          <w:highlight w:val="none"/>
        </w:rPr>
      </w:r>
    </w:p>
    <w:p>
      <w:pPr>
        <w:pageBreakBefore w:val="0"/>
        <w:spacing w:line="240" w:lineRule="auto"/>
        <w:rPr>
          <w:rFonts w:hint="eastAsia"/>
          <w:color w:val="auto"/>
          <w:highlight w:val="none"/>
        </w:rPr>
        <w:outlineLvl w:val="9"/>
      </w:pPr>
      <w:r>
        <w:rPr>
          <w:rFonts w:hint="eastAsia"/>
          <w:color w:val="auto"/>
          <w:highlight w:val="none"/>
        </w:rPr>
      </w:r>
      <w:r>
        <w:rPr>
          <w:highlight w:val="none"/>
        </w:rPr>
      </w:r>
    </w:p>
    <w:p>
      <w:pPr>
        <w:jc w:val="center"/>
        <w:pageBreakBefore w:val="0"/>
        <w:spacing w:line="240" w:lineRule="auto"/>
        <w:rPr>
          <w:rFonts w:hint="eastAsia" w:ascii="宋体" w:hAnsi="宋体" w:eastAsia="宋体" w:cs="宋体"/>
          <w:b/>
          <w:bCs/>
          <w:color w:val="auto"/>
          <w:sz w:val="36"/>
          <w:szCs w:val="44"/>
          <w:highlight w:val="none"/>
        </w:rPr>
        <w:outlineLvl w:val="9"/>
      </w:pPr>
      <w:r>
        <w:rPr>
          <w:highlight w:val="none"/>
        </w:rPr>
      </w:r>
      <w:bookmarkStart w:id="2" w:name="_Toc3440"/>
      <w:r>
        <w:rPr>
          <w:highlight w:val="none"/>
        </w:rPr>
      </w:r>
      <w:bookmarkStart w:id="3" w:name="_Toc16818"/>
      <w:r>
        <w:rPr>
          <w:rFonts w:hint="eastAsia" w:ascii="宋体" w:hAnsi="宋体" w:eastAsia="宋体" w:cs="宋体"/>
          <w:b/>
          <w:bCs/>
          <w:color w:val="auto"/>
          <w:sz w:val="36"/>
          <w:szCs w:val="44"/>
          <w:highlight w:val="none"/>
        </w:rPr>
        <w:t xml:space="preserve">江苏睿博工程技术有限公司</w:t>
      </w:r>
      <w:bookmarkEnd w:id="2"/>
      <w:r>
        <w:rPr>
          <w:highlight w:val="none"/>
        </w:rPr>
      </w:r>
      <w:bookmarkEnd w:id="3"/>
      <w:r>
        <w:rPr>
          <w:highlight w:val="none"/>
        </w:rPr>
      </w:r>
      <w:r>
        <w:rPr>
          <w:highlight w:val="none"/>
        </w:rP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五</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十二月</w:t>
      </w:r>
      <w:r>
        <w:rPr>
          <w:highlight w:val="none"/>
        </w:rP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440" w:right="1080" w:bottom="1440" w:left="108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rPr>
          <w:highlight w:val="none"/>
        </w:rPr>
      </w:r>
    </w:p>
    <w:sdt>
      <w:sdtPr>
        <w15:appearance w15:val="boundingBox"/>
        <w15:color w:val="dbdbdb"/>
        <w:id w:val="147456746"/>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 xml:space="preserve">目录</w:t>
          </w:r>
          <w:r>
            <w:rPr>
              <w:highlight w:val="none"/>
            </w:rPr>
          </w:r>
        </w:p>
        <w:p>
          <w:pPr>
            <w:pStyle w:val="1092"/>
            <w:tabs>
              <w:tab w:val="right" w:pos="9026" w:leader="hyphen"/>
            </w:tabs>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TOC \o "1-1" \h \u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 HYPERLINK \l _Toc30273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56"/>
              <w:highlight w:val="none"/>
            </w:rPr>
            <w:t xml:space="preserve">第一章 磋商邀请</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_Toc30273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1</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rPr>
              <w:highlight w:val="none"/>
            </w:rPr>
          </w:r>
        </w:p>
        <w:p>
          <w:pPr>
            <w:pStyle w:val="1092"/>
            <w:tabs>
              <w:tab w:val="right" w:pos="9026" w:leader="hyphen"/>
            </w:tabs>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 HYPERLINK \l _Toc5319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56"/>
              <w:highlight w:val="none"/>
            </w:rPr>
            <w:t xml:space="preserve">第二章 供应商须知</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_Toc5319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5</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rPr>
              <w:highlight w:val="none"/>
            </w:rPr>
          </w:r>
        </w:p>
        <w:p>
          <w:pPr>
            <w:pStyle w:val="1092"/>
            <w:tabs>
              <w:tab w:val="right" w:pos="9026" w:leader="hyphen"/>
            </w:tabs>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 HYPERLINK \l _Toc15989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56"/>
              <w:highlight w:val="none"/>
              <w:lang w:val="en-US" w:eastAsia="zh-CN" w:bidi="ar-SA"/>
            </w:rPr>
            <w:t xml:space="preserve">第三章 </w:t>
          </w:r>
          <w:r>
            <w:rPr>
              <w:rFonts w:hint="eastAsia" w:ascii="宋体" w:hAnsi="宋体" w:eastAsia="宋体" w:cs="宋体"/>
              <w:b/>
              <w:bCs/>
              <w:color w:val="auto"/>
              <w:sz w:val="28"/>
              <w:szCs w:val="56"/>
              <w:highlight w:val="none"/>
            </w:rPr>
            <w:t xml:space="preserve">采购需求</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_Toc15989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20</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rPr>
              <w:highlight w:val="none"/>
            </w:rPr>
          </w:r>
        </w:p>
        <w:p>
          <w:pPr>
            <w:pStyle w:val="1092"/>
            <w:tabs>
              <w:tab w:val="right" w:pos="9026" w:leader="hyphen"/>
            </w:tabs>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 HYPERLINK \l _Toc2656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44"/>
              <w:highlight w:val="none"/>
            </w:rPr>
            <w:t xml:space="preserve">第四</w:t>
          </w:r>
          <w:r>
            <w:rPr>
              <w:rFonts w:hint="eastAsia" w:ascii="宋体" w:hAnsi="宋体" w:eastAsia="宋体" w:cs="宋体"/>
              <w:b/>
              <w:bCs/>
              <w:color w:val="auto"/>
              <w:sz w:val="28"/>
              <w:szCs w:val="44"/>
              <w:highlight w:val="none"/>
              <w:lang w:val="en-US" w:eastAsia="zh-CN"/>
            </w:rPr>
            <w:t xml:space="preserve">章 </w:t>
          </w:r>
          <w:r>
            <w:rPr>
              <w:rFonts w:hint="eastAsia" w:ascii="宋体" w:hAnsi="宋体" w:eastAsia="宋体" w:cs="宋体"/>
              <w:b/>
              <w:bCs/>
              <w:color w:val="auto"/>
              <w:sz w:val="28"/>
              <w:szCs w:val="44"/>
              <w:highlight w:val="none"/>
            </w:rPr>
            <w:t xml:space="preserve">合同</w:t>
          </w:r>
          <w:r>
            <w:rPr>
              <w:rFonts w:hint="eastAsia" w:ascii="宋体" w:hAnsi="宋体" w:eastAsia="宋体" w:cs="宋体"/>
              <w:b/>
              <w:bCs/>
              <w:color w:val="auto"/>
              <w:sz w:val="28"/>
              <w:szCs w:val="44"/>
              <w:highlight w:val="none"/>
              <w:lang w:val="en-US" w:eastAsia="zh-CN"/>
            </w:rPr>
            <w:t xml:space="preserve">条款</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_Toc2656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24</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rPr>
              <w:highlight w:val="none"/>
            </w:rPr>
          </w:r>
        </w:p>
        <w:p>
          <w:pPr>
            <w:pStyle w:val="1092"/>
            <w:tabs>
              <w:tab w:val="right" w:pos="9026" w:leader="hyphen"/>
            </w:tabs>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 HYPERLINK \l _Toc432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40"/>
              <w:highlight w:val="none"/>
            </w:rPr>
            <w:t xml:space="preserve">第</w:t>
          </w:r>
          <w:r>
            <w:rPr>
              <w:rFonts w:hint="eastAsia" w:ascii="宋体" w:hAnsi="宋体" w:eastAsia="宋体" w:cs="宋体"/>
              <w:b/>
              <w:bCs/>
              <w:color w:val="auto"/>
              <w:sz w:val="28"/>
              <w:szCs w:val="40"/>
              <w:highlight w:val="none"/>
              <w:lang w:val="en-US" w:eastAsia="zh-CN"/>
            </w:rPr>
            <w:t xml:space="preserve">五</w:t>
          </w:r>
          <w:r>
            <w:rPr>
              <w:rFonts w:hint="eastAsia" w:ascii="宋体" w:hAnsi="宋体" w:eastAsia="宋体" w:cs="宋体"/>
              <w:b/>
              <w:bCs/>
              <w:color w:val="auto"/>
              <w:sz w:val="28"/>
              <w:szCs w:val="40"/>
              <w:highlight w:val="none"/>
            </w:rPr>
            <w:t xml:space="preserve">章 评审方法与评审标准</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_Toc432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39</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rPr>
              <w:highlight w:val="none"/>
            </w:rPr>
          </w:r>
        </w:p>
        <w:p>
          <w:pPr>
            <w:pStyle w:val="1092"/>
            <w:tabs>
              <w:tab w:val="right" w:pos="9026" w:leader="hyphen"/>
            </w:tabs>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 HYPERLINK \l _Toc10426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40"/>
              <w:highlight w:val="none"/>
            </w:rPr>
            <w:t xml:space="preserve">第</w:t>
          </w:r>
          <w:r>
            <w:rPr>
              <w:rFonts w:hint="eastAsia" w:ascii="宋体" w:hAnsi="宋体" w:eastAsia="宋体" w:cs="宋体"/>
              <w:b/>
              <w:bCs/>
              <w:color w:val="auto"/>
              <w:sz w:val="28"/>
              <w:szCs w:val="40"/>
              <w:highlight w:val="none"/>
              <w:lang w:val="en-US" w:eastAsia="zh-CN"/>
            </w:rPr>
            <w:t xml:space="preserve">六</w:t>
          </w:r>
          <w:r>
            <w:rPr>
              <w:rFonts w:hint="eastAsia" w:ascii="宋体" w:hAnsi="宋体" w:eastAsia="宋体" w:cs="宋体"/>
              <w:b/>
              <w:bCs/>
              <w:color w:val="auto"/>
              <w:sz w:val="28"/>
              <w:szCs w:val="40"/>
              <w:highlight w:val="none"/>
            </w:rPr>
            <w:t xml:space="preserve">章 响应文件格式</w:t>
          </w:r>
          <w:r>
            <w:rPr>
              <w:rFonts w:hint="eastAsia" w:ascii="宋体" w:hAnsi="宋体" w:eastAsia="宋体" w:cs="宋体"/>
              <w:b/>
              <w:bCs/>
              <w:color w:val="auto"/>
              <w:sz w:val="28"/>
              <w:szCs w:val="32"/>
              <w:highlight w:val="none"/>
            </w:rPr>
            <w:tab/>
          </w:r>
          <w:r>
            <w:rPr>
              <w:rFonts w:hint="eastAsia" w:ascii="宋体" w:hAnsi="宋体" w:eastAsia="宋体" w:cs="宋体"/>
              <w:b/>
              <w:bCs/>
              <w:color w:val="auto"/>
              <w:sz w:val="28"/>
              <w:szCs w:val="32"/>
              <w:highlight w:val="none"/>
            </w:rPr>
            <w:fldChar w:fldCharType="begin"/>
          </w:r>
          <w:r>
            <w:rPr>
              <w:rFonts w:hint="eastAsia" w:ascii="宋体" w:hAnsi="宋体" w:eastAsia="宋体" w:cs="宋体"/>
              <w:b/>
              <w:bCs/>
              <w:color w:val="auto"/>
              <w:sz w:val="28"/>
              <w:szCs w:val="32"/>
              <w:highlight w:val="none"/>
            </w:rPr>
            <w:instrText xml:space="preserve"> PAGEREF _Toc10426 \h </w:instrText>
          </w:r>
          <w:r>
            <w:rPr>
              <w:rFonts w:hint="eastAsia" w:ascii="宋体" w:hAnsi="宋体" w:eastAsia="宋体" w:cs="宋体"/>
              <w:b/>
              <w:bCs/>
              <w:color w:val="auto"/>
              <w:sz w:val="28"/>
              <w:szCs w:val="32"/>
              <w:highlight w:val="none"/>
            </w:rPr>
            <w:fldChar w:fldCharType="separate"/>
          </w:r>
          <w:r>
            <w:rPr>
              <w:rFonts w:hint="eastAsia" w:ascii="宋体" w:hAnsi="宋体" w:eastAsia="宋体" w:cs="宋体"/>
              <w:b/>
              <w:bCs/>
              <w:color w:val="auto"/>
              <w:sz w:val="28"/>
              <w:szCs w:val="32"/>
              <w:highlight w:val="none"/>
            </w:rPr>
            <w:t xml:space="preserve">46</w:t>
          </w:r>
          <w:r>
            <w:rPr>
              <w:rFonts w:hint="eastAsia" w:ascii="宋体" w:hAnsi="宋体" w:eastAsia="宋体" w:cs="宋体"/>
              <w:b/>
              <w:bCs/>
              <w:color w:val="auto"/>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rPr>
              <w:highlight w:val="none"/>
            </w:rPr>
          </w:r>
        </w:p>
        <w:p>
          <w:pPr>
            <w:rPr>
              <w:rFonts w:ascii="Times New Roman" w:hAnsi="Times New Roman" w:eastAsia="宋体" w:cs="Times New Roman"/>
              <w:color w:val="auto"/>
              <w:sz w:val="21"/>
              <w:szCs w:val="22"/>
              <w:highlight w:val="none"/>
            </w:rPr>
          </w:pPr>
          <w:r>
            <w:rPr>
              <w:rFonts w:hint="eastAsia" w:ascii="宋体" w:hAnsi="宋体" w:eastAsia="宋体" w:cs="宋体"/>
              <w:b/>
              <w:bCs/>
              <w:color w:val="auto"/>
              <w:sz w:val="28"/>
              <w:szCs w:val="32"/>
              <w:highlight w:val="none"/>
              <w:lang w:val="en-US" w:eastAsia="zh-CN" w:bidi="ar-SA"/>
            </w:rPr>
            <w:fldChar w:fldCharType="end"/>
          </w:r>
          <w:r>
            <w:rPr>
              <w:highlight w:val="none"/>
            </w:rPr>
          </w:r>
        </w:p>
      </w:sdtContent>
    </w:sdt>
    <w:p>
      <w:pPr>
        <w:rPr>
          <w:rFonts w:ascii="Times New Roman" w:hAnsi="Times New Roman" w:eastAsia="宋体" w:cs="Times New Roman"/>
          <w:color w:val="auto"/>
          <w:sz w:val="21"/>
          <w:szCs w:val="22"/>
          <w:highlight w:val="none"/>
        </w:rPr>
      </w:pPr>
      <w:r>
        <w:rPr>
          <w:rFonts w:ascii="Times New Roman" w:hAnsi="Times New Roman" w:eastAsia="宋体" w:cs="Times New Roman"/>
          <w:color w:val="auto"/>
          <w:sz w:val="21"/>
          <w:szCs w:val="22"/>
          <w:highlight w:val="none"/>
          <w:lang w:val="en-US" w:eastAsia="zh-CN" w:bidi="ar-SA"/>
        </w:rPr>
      </w:r>
      <w:r>
        <w:rPr>
          <w:highlight w:val="none"/>
        </w:rP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outlineLvl w:val="0"/>
      </w:pPr>
      <w:r>
        <w:rPr>
          <w:highlight w:val="none"/>
        </w:rPr>
      </w:r>
      <w:bookmarkStart w:id="4" w:name="_Toc19166"/>
      <w:r>
        <w:rPr>
          <w:highlight w:val="none"/>
        </w:rPr>
      </w:r>
      <w:r>
        <w:rPr>
          <w:highlight w:val="none"/>
        </w:rPr>
      </w:r>
    </w:p>
    <w:p>
      <w:pPr>
        <w:jc w:val="center"/>
        <w:keepNext/>
        <w:pageBreakBefore w:val="0"/>
        <w:spacing w:line="240" w:lineRule="auto"/>
        <w:rPr>
          <w:rFonts w:hint="eastAsia" w:ascii="黑体" w:hAnsi="Times New Roman" w:eastAsia="黑体"/>
          <w:bCs/>
          <w:color w:val="auto"/>
          <w:sz w:val="44"/>
          <w:szCs w:val="44"/>
          <w:highlight w:val="none"/>
        </w:rPr>
        <w:outlineLvl w:val="0"/>
      </w:pPr>
      <w:r>
        <w:rPr>
          <w:highlight w:val="none"/>
        </w:rPr>
      </w:r>
      <w:bookmarkStart w:id="5" w:name="_Toc30273"/>
      <w:r>
        <w:rPr>
          <w:highlight w:val="none"/>
        </w:rPr>
      </w:r>
      <w:bookmarkStart w:id="6" w:name="_Toc120"/>
      <w:r>
        <w:rPr>
          <w:rFonts w:hint="eastAsia" w:ascii="黑体" w:hAnsi="Times New Roman" w:eastAsia="黑体"/>
          <w:color w:val="auto"/>
          <w:sz w:val="44"/>
          <w:szCs w:val="44"/>
          <w:highlight w:val="none"/>
        </w:rPr>
        <w:t xml:space="preserve">第一章  磋商邀请</w:t>
      </w:r>
      <w:bookmarkEnd w:id="4"/>
      <w:r>
        <w:rPr>
          <w:highlight w:val="none"/>
        </w:rPr>
      </w:r>
      <w:bookmarkEnd w:id="5"/>
      <w:r>
        <w:rPr>
          <w:highlight w:val="none"/>
        </w:rPr>
      </w:r>
      <w:bookmarkEnd w:id="6"/>
      <w:r>
        <w:rPr>
          <w:highlight w:val="none"/>
        </w:rPr>
      </w:r>
      <w:r>
        <w:rPr>
          <w:highlight w:val="none"/>
        </w:rP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南通市第二人民医院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南通市第二人民医院无创脑深部神经电刺激系统采购项目（</w:t>
      </w:r>
      <w:r>
        <w:rPr>
          <w:rFonts w:hint="eastAsia" w:ascii="宋体" w:hAnsi="宋体" w:cs="宋体"/>
          <w:b/>
          <w:bCs/>
          <w:color w:val="auto"/>
          <w:sz w:val="24"/>
          <w:szCs w:val="24"/>
          <w:highlight w:val="none"/>
          <w:u w:val="single"/>
          <w:lang w:val="en-US" w:eastAsia="zh-CN"/>
        </w:rPr>
        <w:t xml:space="preserve">JSZC-320600-RBGC-C2025-0050</w:t>
      </w:r>
      <w:r>
        <w:rPr>
          <w:rFonts w:hint="eastAsia" w:ascii="宋体" w:hAnsi="宋体" w:cs="宋体"/>
          <w:b/>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rPr>
          <w:highlight w:val="none"/>
        </w:rP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rPr>
          <w:highlight w:val="none"/>
        </w:rP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南通市第二人民医院无创脑深部神经电刺激系统采购项目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2025年12月25日9时00分</w:t>
      </w:r>
      <w:r>
        <w:rPr>
          <w:rFonts w:hint="eastAsia" w:ascii="宋体" w:hAnsi="宋体" w:cs="宋体"/>
          <w:b/>
          <w:bCs/>
          <w:color w:val="auto"/>
          <w:sz w:val="24"/>
          <w:szCs w:val="24"/>
          <w:highlight w:val="none"/>
          <w:u w:val="single"/>
          <w:lang w:val="en-US" w:eastAsia="zh-CN"/>
        </w:rPr>
        <w:t xml:space="preserve">（北京时间）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8985263"/>
      <w:r>
        <w:rPr>
          <w:highlight w:val="none"/>
        </w:rPr>
      </w:r>
      <w:bookmarkStart w:id="8" w:name="_Toc28359002"/>
      <w:r>
        <w:rPr>
          <w:highlight w:val="none"/>
        </w:rPr>
      </w:r>
      <w:bookmarkStart w:id="9" w:name="_Toc35393621"/>
      <w:r>
        <w:rPr>
          <w:highlight w:val="none"/>
        </w:rPr>
      </w:r>
      <w:bookmarkStart w:id="10" w:name="_Toc28359079"/>
      <w:r>
        <w:rPr>
          <w:highlight w:val="none"/>
        </w:rPr>
      </w:r>
      <w:bookmarkStart w:id="11" w:name="_Toc35393790"/>
      <w:r>
        <w:rPr>
          <w:highlight w:val="none"/>
        </w:rPr>
      </w:r>
      <w:bookmarkStart w:id="12" w:name="_Hlk24379207"/>
      <w:r>
        <w:rPr>
          <w:highlight w:val="none"/>
        </w:rPr>
      </w:r>
      <w:r>
        <w:rPr>
          <w:highlight w:val="none"/>
        </w:rPr>
      </w:r>
    </w:p>
    <w:p>
      <w:pPr>
        <w:pageBreakBefore w:val="0"/>
        <w:spacing w:line="240" w:lineRule="auto"/>
        <w:rPr>
          <w:rFonts w:hint="eastAsia"/>
          <w:color w:val="auto"/>
          <w:sz w:val="24"/>
          <w:szCs w:val="24"/>
          <w:highlight w:val="none"/>
        </w:rPr>
      </w:pPr>
      <w:r>
        <w:rPr>
          <w:rFonts w:hint="eastAsia"/>
          <w:color w:val="auto"/>
          <w:sz w:val="24"/>
          <w:szCs w:val="24"/>
          <w:highlight w:val="none"/>
        </w:rPr>
      </w:r>
      <w:r>
        <w:rPr>
          <w:highlight w:val="none"/>
        </w:rPr>
      </w:r>
    </w:p>
    <w:p>
      <w:pPr>
        <w:ind w:firstLine="498"/>
        <w:keepLines/>
        <w:keepNext/>
        <w:pageBreakBefore w:val="0"/>
        <w:spacing w:line="240" w:lineRule="auto"/>
        <w:rPr>
          <w:rFonts w:ascii="Times New Roman" w:hAnsi="Times New Roman"/>
          <w:b/>
          <w:bCs/>
          <w:color w:val="auto"/>
          <w:sz w:val="32"/>
          <w:szCs w:val="32"/>
          <w:highlight w:val="none"/>
        </w:rPr>
        <w:outlineLvl w:val="1"/>
      </w:pPr>
      <w:r>
        <w:rPr>
          <w:highlight w:val="none"/>
        </w:rPr>
      </w:r>
      <w:bookmarkStart w:id="13" w:name="_Toc586"/>
      <w:r>
        <w:rPr>
          <w:highlight w:val="none"/>
        </w:rPr>
      </w:r>
      <w:bookmarkStart w:id="14" w:name="_Toc4050"/>
      <w:r>
        <w:rPr>
          <w:highlight w:val="none"/>
        </w:rPr>
      </w:r>
      <w:bookmarkStart w:id="15" w:name="_Toc11770"/>
      <w:r>
        <w:rPr>
          <w:highlight w:val="none"/>
        </w:rPr>
      </w:r>
      <w:bookmarkStart w:id="16" w:name="_Toc6079"/>
      <w:r>
        <w:rPr>
          <w:rFonts w:hint="eastAsia" w:ascii="Times New Roman" w:hAnsi="Times New Roman"/>
          <w:b/>
          <w:bCs/>
          <w:color w:val="auto"/>
          <w:sz w:val="32"/>
          <w:szCs w:val="32"/>
          <w:highlight w:val="none"/>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3"/>
      <w:r>
        <w:rPr>
          <w:highlight w:val="none"/>
        </w:rPr>
      </w:r>
      <w:bookmarkEnd w:id="14"/>
      <w:r>
        <w:rPr>
          <w:highlight w:val="none"/>
        </w:rPr>
      </w:r>
      <w:bookmarkEnd w:id="15"/>
      <w:r>
        <w:rPr>
          <w:highlight w:val="none"/>
        </w:rPr>
      </w:r>
      <w:bookmarkEnd w:id="16"/>
      <w:r>
        <w:rPr>
          <w:highlight w:val="none"/>
        </w:rPr>
      </w:r>
      <w:bookmarkEnd w:id="12"/>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JSZC-320600-RBGC-C2025-0050</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南通市第二人民医院无创脑深部神经电刺激系统采购项目</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rPr>
          <w:highlight w:val="none"/>
        </w:rPr>
      </w:r>
    </w:p>
    <w:p>
      <w:pPr>
        <w:ind w:firstLine="480"/>
        <w:pageBreakBefore w:val="0"/>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rPr>
          <w:highlight w:val="none"/>
        </w:rPr>
      </w:r>
    </w:p>
    <w:p>
      <w:pPr>
        <w:ind w:firstLine="480"/>
        <w:pageBreakBefore w:val="0"/>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万元</w:t>
      </w:r>
      <w:r>
        <w:rPr>
          <w:highlight w:val="none"/>
        </w:rPr>
      </w:r>
    </w:p>
    <w:p>
      <w:pPr>
        <w:ind w:firstLine="480"/>
        <w:pageBreakBefore w:val="0"/>
        <w:spacing w:line="240" w:lineRule="auto"/>
        <w:rPr>
          <w:rFonts w:hint="default"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w:t>
      </w:r>
      <w:r>
        <w:rPr>
          <w:highlight w:val="none"/>
        </w:rPr>
      </w:r>
    </w:p>
    <w:p>
      <w:pPr>
        <w:ind w:firstLine="48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5393791"/>
      <w:r>
        <w:rPr>
          <w:highlight w:val="none"/>
        </w:rPr>
      </w:r>
      <w:bookmarkStart w:id="18" w:name="_Toc28359080"/>
      <w:r>
        <w:rPr>
          <w:highlight w:val="none"/>
        </w:rPr>
      </w:r>
      <w:bookmarkStart w:id="19" w:name="_Toc38985264"/>
      <w:r>
        <w:rPr>
          <w:highlight w:val="none"/>
        </w:rPr>
      </w:r>
      <w:bookmarkStart w:id="20" w:name="_Toc35393622"/>
      <w:r>
        <w:rPr>
          <w:highlight w:val="none"/>
        </w:rPr>
      </w:r>
      <w:bookmarkStart w:id="21" w:name="_Toc28359003"/>
      <w:r>
        <w:rPr>
          <w:rFonts w:hint="eastAsia" w:ascii="宋体" w:hAnsi="宋体" w:cs="宋体"/>
          <w:color w:val="auto"/>
          <w:sz w:val="24"/>
          <w:szCs w:val="24"/>
          <w:highlight w:val="none"/>
          <w:lang w:val="en-US" w:eastAsia="zh-CN"/>
        </w:rPr>
        <w:t xml:space="preserve">详见竞争性磋商文件</w:t>
      </w:r>
      <w:r>
        <w:rPr>
          <w:highlight w:val="none"/>
        </w:rPr>
      </w:r>
    </w:p>
    <w:tbl>
      <w:tblPr>
        <w:tblStyle w:val="1080"/>
        <w:tblpPr w:horzAnchor="page" w:tblpXSpec="center" w:vertAnchor="text" w:tblpY="98" w:leftFromText="180" w:topFromText="0" w:rightFromText="180" w:bottomFromText="0"/>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915"/>
        <w:gridCol w:w="900"/>
        <w:gridCol w:w="1000"/>
        <w:gridCol w:w="1567"/>
        <w:gridCol w:w="1358"/>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rPr>
                <w:highlight w:val="none"/>
              </w:rPr>
            </w:r>
          </w:p>
        </w:tc>
        <w:tc>
          <w:tcPr>
            <w:tcW w:w="291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rPr>
                <w:highlight w:val="none"/>
              </w:rPr>
            </w:r>
          </w:p>
        </w:tc>
        <w:tc>
          <w:tcPr>
            <w:tcW w:w="9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rPr>
                <w:highlight w:val="none"/>
              </w:rPr>
            </w:r>
          </w:p>
        </w:tc>
        <w:tc>
          <w:tcPr>
            <w:tcW w:w="10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rPr>
                <w:highlight w:val="none"/>
              </w:rPr>
            </w:r>
          </w:p>
        </w:tc>
        <w:tc>
          <w:tcPr>
            <w:tcW w:w="1567"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w:t>
            </w:r>
            <w:r>
              <w:rPr>
                <w:highlight w:val="none"/>
              </w:rPr>
            </w:r>
          </w:p>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向中小企业</w:t>
            </w:r>
            <w:r>
              <w:rPr>
                <w:highlight w:val="none"/>
              </w:rPr>
            </w:r>
          </w:p>
        </w:tc>
        <w:tc>
          <w:tcPr>
            <w:tcW w:w="135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w:t>
            </w:r>
            <w:r>
              <w:rPr>
                <w:highlight w:val="none"/>
              </w:rPr>
            </w:r>
          </w:p>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进口产品</w:t>
            </w:r>
            <w:r>
              <w:rPr>
                <w:highlight w:val="none"/>
              </w:rP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highlight w:val="none"/>
              </w:rPr>
            </w:r>
          </w:p>
        </w:tc>
        <w:tc>
          <w:tcPr>
            <w:tcW w:w="291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无创脑深部神经电刺激系统</w:t>
            </w:r>
            <w:r>
              <w:rPr>
                <w:highlight w:val="none"/>
              </w:rPr>
            </w:r>
          </w:p>
        </w:tc>
        <w:tc>
          <w:tcPr>
            <w:tcW w:w="900"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套</w:t>
            </w:r>
            <w:r>
              <w:rPr>
                <w:highlight w:val="none"/>
              </w:rPr>
            </w:r>
          </w:p>
        </w:tc>
        <w:tc>
          <w:tcPr>
            <w:tcW w:w="1000"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2年</w:t>
            </w:r>
            <w:r>
              <w:rPr>
                <w:highlight w:val="none"/>
              </w:rPr>
            </w:r>
          </w:p>
        </w:tc>
        <w:tc>
          <w:tcPr>
            <w:tcW w:w="1567" w:type="dxa"/>
            <w:vAlign w:val="center"/>
            <w:textDirection w:val="lrTb"/>
            <w:noWrap w:val="false"/>
          </w:tcPr>
          <w:p>
            <w:pPr>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是</w:t>
            </w:r>
            <w:r>
              <w:rPr>
                <w:highlight w:val="none"/>
              </w:rPr>
            </w:r>
          </w:p>
        </w:tc>
        <w:tc>
          <w:tcPr>
            <w:tcW w:w="1358"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否</w:t>
            </w:r>
            <w:r>
              <w:rPr>
                <w:highlight w:val="none"/>
              </w:rPr>
            </w:r>
          </w:p>
        </w:tc>
      </w:tr>
    </w:tbl>
    <w:p>
      <w:pPr>
        <w:numPr>
          <w:ilvl w:val="0"/>
          <w:numId w:val="0"/>
        </w:numPr>
        <w:ind w:firstLine="480"/>
        <w:pageBreakBefore w:val="0"/>
        <w:spacing w:line="240" w:lineRule="auto"/>
        <w:rPr>
          <w:rFonts w:hint="default"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合同履行期限：合同签订后30天内交货</w:t>
      </w:r>
      <w:r>
        <w:rPr>
          <w:highlight w:val="none"/>
        </w:rPr>
      </w:r>
    </w:p>
    <w:p>
      <w:pPr>
        <w:ind w:firstLine="480"/>
        <w:spacing w:line="24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rPr>
          <w:highlight w:val="none"/>
        </w:rPr>
      </w:r>
    </w:p>
    <w:p>
      <w:pPr>
        <w:ind w:firstLine="480"/>
        <w:spacing w:line="24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rPr>
          <w:highlight w:val="none"/>
        </w:rPr>
      </w:r>
    </w:p>
    <w:p>
      <w:pPr>
        <w:pageBreakBefore w:val="0"/>
        <w:spacing w:line="240" w:lineRule="auto"/>
        <w:rPr>
          <w:rFonts w:hint="eastAsia"/>
          <w:color w:val="auto"/>
          <w:highlight w:val="none"/>
        </w:rPr>
      </w:pPr>
      <w:r>
        <w:rPr>
          <w:rFonts w:hint="eastAsia"/>
          <w:color w:val="auto"/>
          <w:highlight w:val="none"/>
        </w:rPr>
      </w:r>
      <w:r>
        <w:rPr>
          <w:highlight w:val="none"/>
        </w:rP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rPr>
          <w:highlight w:val="none"/>
        </w:rPr>
      </w:r>
      <w:bookmarkStart w:id="22" w:name="_Toc30635"/>
      <w:r>
        <w:rPr>
          <w:highlight w:val="none"/>
        </w:rPr>
      </w:r>
      <w:bookmarkStart w:id="23" w:name="_Toc1215"/>
      <w:r>
        <w:rPr>
          <w:highlight w:val="none"/>
        </w:rPr>
      </w:r>
      <w:bookmarkStart w:id="24" w:name="_Toc25468"/>
      <w:r>
        <w:rPr>
          <w:highlight w:val="none"/>
        </w:rPr>
      </w:r>
      <w:bookmarkStart w:id="25" w:name="_Toc28094"/>
      <w:r>
        <w:rPr>
          <w:rFonts w:hint="eastAsia" w:ascii="Times New Roman" w:hAnsi="Times New Roman" w:eastAsia="宋体" w:cs="Times New Roman"/>
          <w:b/>
          <w:bCs/>
          <w:color w:val="auto"/>
          <w:sz w:val="32"/>
          <w:szCs w:val="32"/>
          <w:highlight w:val="none"/>
        </w:rPr>
        <w:t xml:space="preserve">二、申请人的资格要求</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Start w:id="26" w:name="_Toc35393623"/>
      <w:r>
        <w:rPr>
          <w:highlight w:val="none"/>
        </w:rPr>
      </w:r>
      <w:bookmarkStart w:id="27" w:name="_Toc28359081"/>
      <w:r>
        <w:rPr>
          <w:highlight w:val="none"/>
        </w:rPr>
      </w:r>
      <w:bookmarkStart w:id="28" w:name="_Toc38985265"/>
      <w:r>
        <w:rPr>
          <w:highlight w:val="none"/>
        </w:rPr>
      </w:r>
      <w:bookmarkStart w:id="29" w:name="_Toc35393792"/>
      <w:r>
        <w:rPr>
          <w:highlight w:val="none"/>
        </w:rPr>
      </w:r>
      <w:bookmarkStart w:id="30" w:name="_Toc28359004"/>
      <w:r>
        <w:rPr>
          <w:highlight w:val="none"/>
        </w:rPr>
      </w:r>
      <w:r>
        <w:rPr>
          <w:highlight w:val="none"/>
        </w:rP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rPr>
          <w:highlight w:val="none"/>
        </w:rPr>
      </w:r>
      <w:bookmarkStart w:id="31" w:name="_Toc7517"/>
      <w:r>
        <w:rPr>
          <w:highlight w:val="none"/>
        </w:rPr>
      </w:r>
      <w:bookmarkStart w:id="32" w:name="_Toc8824"/>
      <w:r>
        <w:rPr>
          <w:highlight w:val="none"/>
        </w:rPr>
      </w:r>
      <w:bookmarkStart w:id="33" w:name="_Toc27405"/>
      <w:r>
        <w:rPr>
          <w:rFonts w:hint="eastAsia" w:ascii="宋体" w:hAnsi="宋体" w:eastAsia="宋体" w:cs="宋体"/>
          <w:b/>
          <w:bCs/>
          <w:color w:val="auto"/>
          <w:sz w:val="24"/>
          <w:szCs w:val="24"/>
          <w:highlight w:val="none"/>
        </w:rPr>
        <w:t xml:space="preserve">（一）通用资格要求</w:t>
      </w:r>
      <w:bookmarkEnd w:id="31"/>
      <w:r>
        <w:rPr>
          <w:highlight w:val="none"/>
        </w:rPr>
      </w:r>
      <w:bookmarkEnd w:id="32"/>
      <w:r>
        <w:rPr>
          <w:highlight w:val="none"/>
        </w:rPr>
      </w:r>
      <w:bookmarkEnd w:id="33"/>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highlight w:val="none"/>
        </w:rPr>
      </w:r>
      <w:bookmarkStart w:id="34" w:name="_Toc30614"/>
      <w:r>
        <w:rPr>
          <w:highlight w:val="none"/>
        </w:rPr>
      </w:r>
      <w:bookmarkStart w:id="35" w:name="_Toc28888"/>
      <w:r>
        <w:rPr>
          <w:highlight w:val="none"/>
        </w:rPr>
      </w:r>
      <w:bookmarkStart w:id="36" w:name="_Toc26023"/>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rPr>
          <w:highlight w:val="none"/>
        </w:rPr>
      </w:r>
      <w:bookmarkEnd w:id="35"/>
      <w:r>
        <w:rPr>
          <w:highlight w:val="none"/>
        </w:rPr>
      </w:r>
      <w:bookmarkEnd w:id="36"/>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2023或2024</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rPr>
          <w:highlight w:val="none"/>
        </w:rPr>
      </w:r>
    </w:p>
    <w:p>
      <w:pPr>
        <w:ind w:firstLine="482"/>
        <w:pageBreakBefore w:val="0"/>
        <w:spacing w:line="240" w:lineRule="auto"/>
        <w:rPr>
          <w:rFonts w:hint="eastAsia" w:ascii="宋体" w:hAnsi="宋体" w:eastAsia="宋体" w:cs="宋体"/>
          <w:b/>
          <w:bCs/>
          <w:color w:val="auto"/>
          <w:sz w:val="24"/>
          <w:szCs w:val="24"/>
          <w:highlight w:val="none"/>
        </w:rPr>
        <w:outlineLvl w:val="9"/>
      </w:pPr>
      <w:r>
        <w:rPr>
          <w:highlight w:val="none"/>
        </w:rPr>
      </w:r>
      <w:bookmarkStart w:id="37" w:name="_Toc19946"/>
      <w:r>
        <w:rPr>
          <w:highlight w:val="none"/>
        </w:rPr>
      </w:r>
      <w:bookmarkStart w:id="38" w:name="_Toc23443"/>
      <w:r>
        <w:rPr>
          <w:highlight w:val="none"/>
        </w:rPr>
      </w:r>
      <w:bookmarkStart w:id="39" w:name="_Toc10127"/>
      <w:r>
        <w:rPr>
          <w:rFonts w:hint="eastAsia" w:ascii="宋体" w:hAnsi="宋体" w:eastAsia="宋体" w:cs="宋体"/>
          <w:b/>
          <w:bCs/>
          <w:color w:val="auto"/>
          <w:sz w:val="24"/>
          <w:szCs w:val="24"/>
          <w:highlight w:val="none"/>
          <w:lang w:val="en-US" w:eastAsia="zh-CN"/>
        </w:rPr>
        <w:t xml:space="preserve">2.禁止投标的情形</w:t>
      </w:r>
      <w:bookmarkEnd w:id="37"/>
      <w:r>
        <w:rPr>
          <w:highlight w:val="none"/>
        </w:rPr>
      </w:r>
      <w:bookmarkEnd w:id="38"/>
      <w:r>
        <w:rPr>
          <w:highlight w:val="none"/>
        </w:rPr>
      </w:r>
      <w:bookmarkEnd w:id="39"/>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highlight w:val="none"/>
        </w:rPr>
      </w:r>
    </w:p>
    <w:p>
      <w:pPr>
        <w:numPr>
          <w:ilvl w:val="0"/>
          <w:numId w:val="0"/>
        </w:numPr>
        <w:ind w:firstLine="373"/>
        <w:keepLines/>
        <w:keepNext/>
        <w:pageBreakBefore w:val="0"/>
        <w:spacing w:line="240" w:lineRule="auto"/>
        <w:rPr>
          <w:rFonts w:hint="eastAsia" w:ascii="宋体" w:hAnsi="宋体" w:eastAsia="宋体" w:cs="宋体"/>
          <w:b w:val="0"/>
          <w:bCs w:val="0"/>
          <w:color w:val="auto"/>
          <w:sz w:val="24"/>
          <w:szCs w:val="24"/>
          <w:highlight w:val="none"/>
        </w:rPr>
        <w:outlineLvl w:val="9"/>
      </w:pPr>
      <w:r>
        <w:rPr>
          <w:highlight w:val="none"/>
        </w:rPr>
      </w:r>
      <w:bookmarkStart w:id="40" w:name="_Toc23714"/>
      <w:r>
        <w:rPr>
          <w:highlight w:val="none"/>
        </w:rPr>
      </w:r>
      <w:bookmarkStart w:id="41" w:name="_Toc24463"/>
      <w:r>
        <w:rPr>
          <w:highlight w:val="none"/>
        </w:rPr>
      </w:r>
      <w:bookmarkStart w:id="42" w:name="_Toc6938"/>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bookmarkEnd w:id="40"/>
      <w:r>
        <w:rPr>
          <w:highlight w:val="none"/>
        </w:rPr>
      </w:r>
      <w:bookmarkEnd w:id="41"/>
      <w:r>
        <w:rPr>
          <w:highlight w:val="none"/>
        </w:rPr>
      </w:r>
      <w:bookmarkEnd w:id="42"/>
      <w:r>
        <w:rPr>
          <w:rFonts w:hint="eastAsia" w:ascii="宋体" w:hAnsi="宋体" w:eastAsia="宋体" w:cs="宋体"/>
          <w:b w:val="0"/>
          <w:bCs w:val="0"/>
          <w:color w:val="auto"/>
          <w:sz w:val="24"/>
          <w:szCs w:val="24"/>
          <w:highlight w:val="none"/>
          <w:lang w:eastAsia="zh-CN"/>
        </w:rPr>
        <w:t xml:space="preserve">本项目属于</w:t>
      </w:r>
      <w:r>
        <w:rPr>
          <w:rFonts w:hint="eastAsia" w:ascii="宋体" w:hAnsi="宋体" w:eastAsia="宋体" w:cs="宋体"/>
          <w:b/>
          <w:bCs/>
          <w:color w:val="auto"/>
          <w:sz w:val="24"/>
          <w:szCs w:val="24"/>
          <w:highlight w:val="none"/>
          <w:lang w:eastAsia="zh-CN"/>
        </w:rPr>
        <w:t xml:space="preserve">专门面向中小企业</w:t>
      </w:r>
      <w:r>
        <w:rPr>
          <w:rFonts w:hint="eastAsia" w:ascii="宋体" w:hAnsi="宋体" w:eastAsia="宋体" w:cs="宋体"/>
          <w:b w:val="0"/>
          <w:bCs w:val="0"/>
          <w:color w:val="auto"/>
          <w:sz w:val="24"/>
          <w:szCs w:val="24"/>
          <w:highlight w:val="none"/>
          <w:lang w:eastAsia="zh-CN"/>
        </w:rPr>
        <w:t xml:space="preserve">（或监狱企业或残疾人福利性单位）采购的项目，不再执行《政府采购促进中小企业发展管理办法》《关于政府采购支持监狱企业发展有关问题的通知》《关于促进残疾人就业政府采购政策的通知》等价格扣除优惠政策。依据工业和信息化部等四部委制定的《中小企业划型标准规定》，本项目对应的中小企业划分标准所属行业为货物（工业）。</w:t>
      </w:r>
      <w:r>
        <w:rPr>
          <w:highlight w:val="none"/>
        </w:rPr>
      </w:r>
    </w:p>
    <w:p>
      <w:pPr>
        <w:numPr>
          <w:ilvl w:val="0"/>
          <w:numId w:val="0"/>
        </w:numPr>
        <w:keepLines/>
        <w:keepNext/>
        <w:pageBreakBefore w:val="0"/>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r>
      <w:r>
        <w:rPr>
          <w:highlight w:val="none"/>
        </w:rPr>
      </w:r>
    </w:p>
    <w:p>
      <w:pPr>
        <w:numPr>
          <w:ilvl w:val="0"/>
          <w:numId w:val="0"/>
        </w:numPr>
        <w:ind w:firstLine="373"/>
        <w:keepLines/>
        <w:keepNext/>
        <w:pageBreakBefore w:val="0"/>
        <w:spacing w:line="240" w:lineRule="auto"/>
        <w:rPr>
          <w:rFonts w:hint="default" w:ascii="宋体" w:hAnsi="宋体" w:eastAsia="宋体" w:cs="宋体"/>
          <w:b/>
          <w:bCs/>
          <w:color w:val="auto"/>
          <w:sz w:val="24"/>
          <w:szCs w:val="24"/>
          <w:highlight w:val="none"/>
        </w:rPr>
        <w:outlineLvl w:val="9"/>
      </w:pPr>
      <w:r>
        <w:rPr>
          <w:highlight w:val="none"/>
        </w:rPr>
      </w:r>
      <w:bookmarkStart w:id="43" w:name="_Toc27584"/>
      <w:r>
        <w:rPr>
          <w:highlight w:val="none"/>
        </w:rPr>
      </w:r>
      <w:bookmarkStart w:id="44" w:name="_Toc878"/>
      <w:r>
        <w:rPr>
          <w:highlight w:val="none"/>
        </w:rPr>
      </w:r>
      <w:bookmarkStart w:id="45" w:name="_Toc27013"/>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rPr>
          <w:highlight w:val="none"/>
        </w:rPr>
      </w:r>
      <w:bookmarkEnd w:id="44"/>
      <w:r>
        <w:rPr>
          <w:highlight w:val="none"/>
        </w:rPr>
      </w:r>
      <w:bookmarkEnd w:id="45"/>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无</w:t>
      </w:r>
      <w:r>
        <w:rPr>
          <w:highlight w:val="none"/>
        </w:rPr>
      </w:r>
    </w:p>
    <w:p>
      <w:pPr>
        <w:pageBreakBefore w:val="0"/>
        <w:spacing w:line="240" w:lineRule="auto"/>
        <w:rPr>
          <w:rFonts w:hint="eastAsia"/>
          <w:color w:val="auto"/>
          <w:highlight w:val="none"/>
        </w:rPr>
      </w:pPr>
      <w:r>
        <w:rPr>
          <w:rFonts w:hint="eastAsia"/>
          <w:color w:val="auto"/>
          <w:highlight w:val="none"/>
        </w:rPr>
      </w:r>
      <w:r>
        <w:rPr>
          <w:highlight w:val="none"/>
        </w:rP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rPr>
          <w:highlight w:val="none"/>
        </w:rPr>
      </w:r>
      <w:bookmarkStart w:id="46" w:name="_Toc29194"/>
      <w:r>
        <w:rPr>
          <w:highlight w:val="none"/>
        </w:rPr>
      </w:r>
      <w:bookmarkStart w:id="47" w:name="_Toc10444"/>
      <w:r>
        <w:rPr>
          <w:highlight w:val="none"/>
        </w:rPr>
      </w:r>
      <w:bookmarkStart w:id="48" w:name="_Toc22987"/>
      <w:r>
        <w:rPr>
          <w:highlight w:val="none"/>
        </w:rPr>
      </w:r>
      <w:bookmarkStart w:id="49" w:name="_Toc4289"/>
      <w:r>
        <w:rPr>
          <w:rFonts w:hint="eastAsia" w:ascii="Times New Roman" w:hAnsi="Times New Roman" w:eastAsia="宋体" w:cs="Times New Roman"/>
          <w:b/>
          <w:bCs/>
          <w:color w:val="auto"/>
          <w:sz w:val="32"/>
          <w:szCs w:val="32"/>
          <w:highlight w:val="none"/>
        </w:rPr>
        <w:t xml:space="preserve">三、获取</w:t>
      </w:r>
      <w:bookmarkEnd w:id="26"/>
      <w:r>
        <w:rPr>
          <w:highlight w:val="none"/>
        </w:rPr>
      </w:r>
      <w:bookmarkEnd w:id="27"/>
      <w:r>
        <w:rPr>
          <w:highlight w:val="none"/>
        </w:rPr>
      </w:r>
      <w:bookmarkEnd w:id="28"/>
      <w:r>
        <w:rPr>
          <w:highlight w:val="none"/>
        </w:rPr>
      </w:r>
      <w:bookmarkEnd w:id="29"/>
      <w:r>
        <w:rPr>
          <w:highlight w:val="none"/>
        </w:rPr>
      </w:r>
      <w:bookmarkEnd w:id="30"/>
      <w:r>
        <w:rPr>
          <w:rFonts w:hint="eastAsia" w:ascii="Times New Roman" w:hAnsi="Times New Roman" w:eastAsia="宋体" w:cs="Times New Roman"/>
          <w:b/>
          <w:bCs/>
          <w:color w:val="auto"/>
          <w:sz w:val="32"/>
          <w:szCs w:val="32"/>
          <w:highlight w:val="none"/>
        </w:rPr>
        <w:t xml:space="preserve">磋商文件</w:t>
      </w:r>
      <w:bookmarkEnd w:id="46"/>
      <w:r>
        <w:rPr>
          <w:highlight w:val="none"/>
        </w:rPr>
      </w:r>
      <w:bookmarkEnd w:id="47"/>
      <w:r>
        <w:rPr>
          <w:highlight w:val="none"/>
        </w:rPr>
      </w:r>
      <w:bookmarkEnd w:id="48"/>
      <w:r>
        <w:rPr>
          <w:highlight w:val="none"/>
        </w:rPr>
      </w:r>
      <w:bookmarkEnd w:id="49"/>
      <w:r>
        <w:rPr>
          <w:highlight w:val="none"/>
        </w:rPr>
      </w:r>
      <w:r>
        <w:rPr>
          <w:highlight w:val="none"/>
        </w:rPr>
      </w:r>
    </w:p>
    <w:p>
      <w:pPr>
        <w:ind w:firstLine="482"/>
        <w:keepLines w:val="0"/>
        <w:keepNext w:val="0"/>
        <w:pageBreakBefore w:val="0"/>
        <w:spacing w:line="240" w:lineRule="auto"/>
        <w:widowControl w:val="off"/>
        <w:rPr>
          <w:rFonts w:hint="eastAsia" w:ascii="宋体" w:hAnsi="宋体" w:eastAsia="宋体" w:cs="Times New Roman"/>
          <w:b/>
          <w:bCs/>
          <w:color w:val="auto"/>
          <w:sz w:val="24"/>
          <w:szCs w:val="24"/>
          <w:highlight w:val="none"/>
        </w:rPr>
      </w:pPr>
      <w:r>
        <w:rPr>
          <w:highlight w:val="none"/>
        </w:rPr>
      </w:r>
      <w:bookmarkStart w:id="50" w:name="_Toc28359082"/>
      <w:r>
        <w:rPr>
          <w:highlight w:val="none"/>
        </w:rPr>
      </w:r>
      <w:bookmarkStart w:id="51" w:name="_Toc28359005"/>
      <w:r>
        <w:rPr>
          <w:highlight w:val="none"/>
        </w:rPr>
      </w:r>
      <w:bookmarkStart w:id="52" w:name="_Toc35393793"/>
      <w:r>
        <w:rPr>
          <w:highlight w:val="none"/>
        </w:rPr>
      </w:r>
      <w:bookmarkStart w:id="53" w:name="_Toc38985266"/>
      <w:r>
        <w:rPr>
          <w:highlight w:val="none"/>
        </w:rPr>
      </w:r>
      <w:bookmarkStart w:id="54" w:name="_Toc35393624"/>
      <w:r>
        <w:rPr>
          <w:rFonts w:hint="eastAsia" w:ascii="宋体" w:hAnsi="宋体" w:eastAsia="宋体" w:cs="Times New Roman"/>
          <w:b/>
          <w:bCs/>
          <w:color w:val="auto"/>
          <w:sz w:val="24"/>
          <w:szCs w:val="24"/>
          <w:highlight w:val="none"/>
        </w:rPr>
        <w:t xml:space="preserve">1.时间：自</w:t>
      </w:r>
      <w:r>
        <w:rPr>
          <w:rFonts w:hint="eastAsia" w:ascii="宋体" w:hAnsi="宋体" w:cs="Times New Roman"/>
          <w:b/>
          <w:bCs/>
          <w:color w:val="auto"/>
          <w:sz w:val="24"/>
          <w:szCs w:val="24"/>
          <w:highlight w:val="none"/>
          <w:lang w:val="en-US" w:eastAsia="zh-CN"/>
        </w:rPr>
        <w:t xml:space="preserve">磋商</w:t>
      </w:r>
      <w:r>
        <w:rPr>
          <w:rFonts w:hint="eastAsia" w:ascii="宋体" w:hAnsi="宋体" w:eastAsia="宋体" w:cs="Times New Roman"/>
          <w:b/>
          <w:bCs/>
          <w:color w:val="auto"/>
          <w:sz w:val="24"/>
          <w:szCs w:val="24"/>
          <w:highlight w:val="none"/>
        </w:rPr>
        <w:t xml:space="preserve">文件公告发布之日起至2025年</w:t>
      </w:r>
      <w:r>
        <w:rPr>
          <w:rFonts w:hint="eastAsia" w:ascii="宋体" w:hAnsi="宋体" w:cs="Times New Roman"/>
          <w:b/>
          <w:bCs/>
          <w:color w:val="auto"/>
          <w:sz w:val="24"/>
          <w:szCs w:val="24"/>
          <w:highlight w:val="none"/>
          <w:lang w:val="en-US" w:eastAsia="zh-CN"/>
        </w:rPr>
        <w:t xml:space="preserve">12</w:t>
      </w:r>
      <w:r>
        <w:rPr>
          <w:rFonts w:hint="eastAsia" w:ascii="宋体" w:hAnsi="宋体" w:eastAsia="宋体" w:cs="Times New Roman"/>
          <w:b/>
          <w:bCs/>
          <w:color w:val="auto"/>
          <w:sz w:val="24"/>
          <w:szCs w:val="24"/>
          <w:highlight w:val="none"/>
        </w:rPr>
        <w:t xml:space="preserve">月</w:t>
      </w:r>
      <w:r>
        <w:rPr>
          <w:rFonts w:hint="eastAsia" w:ascii="宋体" w:hAnsi="宋体" w:cs="Times New Roman"/>
          <w:b/>
          <w:bCs/>
          <w:color w:val="auto"/>
          <w:sz w:val="24"/>
          <w:szCs w:val="24"/>
          <w:highlight w:val="none"/>
          <w:lang w:val="en-US" w:eastAsia="zh-CN"/>
        </w:rPr>
        <w:t xml:space="preserve">19</w:t>
      </w:r>
      <w:r>
        <w:rPr>
          <w:rFonts w:hint="eastAsia" w:ascii="宋体" w:hAnsi="宋体" w:eastAsia="宋体" w:cs="Times New Roman"/>
          <w:b/>
          <w:bCs/>
          <w:color w:val="auto"/>
          <w:sz w:val="24"/>
          <w:szCs w:val="24"/>
          <w:highlight w:val="none"/>
        </w:rPr>
        <w:t xml:space="preserve">日</w:t>
      </w:r>
      <w:r>
        <w:rPr>
          <w:highlight w:val="none"/>
        </w:rP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rPr>
          <w:highlight w:val="none"/>
        </w:rP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rPr>
          <w:highlight w:val="none"/>
        </w:rPr>
      </w:r>
      <w:bookmarkStart w:id="55" w:name="_Toc24114"/>
      <w:r>
        <w:rPr>
          <w:highlight w:val="none"/>
        </w:rPr>
      </w:r>
      <w:bookmarkStart w:id="56" w:name="_Toc23650"/>
      <w:r>
        <w:rPr>
          <w:highlight w:val="none"/>
        </w:rPr>
      </w:r>
      <w:bookmarkStart w:id="57" w:name="_Toc21277"/>
      <w:r>
        <w:rPr>
          <w:highlight w:val="none"/>
        </w:rPr>
      </w:r>
      <w:bookmarkStart w:id="58" w:name="_Toc14930"/>
      <w:r>
        <w:rPr>
          <w:highlight w:val="none"/>
        </w:rPr>
      </w:r>
      <w:r>
        <w:rPr>
          <w:highlight w:val="none"/>
        </w:rP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rPr>
          <w:highlight w:val="none"/>
        </w:rPr>
      </w:r>
      <w:bookmarkEnd w:id="51"/>
      <w:r>
        <w:rPr>
          <w:rFonts w:hint="eastAsia" w:ascii="Times New Roman" w:hAnsi="Times New Roman"/>
          <w:b/>
          <w:bCs/>
          <w:color w:val="auto"/>
          <w:sz w:val="32"/>
          <w:szCs w:val="32"/>
          <w:highlight w:val="none"/>
        </w:rPr>
        <w:t xml:space="preserve">响应文件截止时间</w:t>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r>
        <w:rPr>
          <w:highlight w:val="none"/>
        </w:rP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2025年12月25日9时00分（北京时间）</w:t>
      </w:r>
      <w:r>
        <w:rPr>
          <w:rFonts w:hint="eastAsia" w:ascii="宋体" w:hAnsi="宋体"/>
          <w:bCs/>
          <w:color w:val="auto"/>
          <w:sz w:val="24"/>
          <w:szCs w:val="24"/>
          <w:highlight w:val="none"/>
        </w:rPr>
        <w:t xml:space="preserve">。逾时，交易系统将拒绝接受上传响应文件电子文档。</w:t>
      </w:r>
      <w:r>
        <w:rPr>
          <w:highlight w:val="none"/>
        </w:rPr>
      </w:r>
    </w:p>
    <w:p>
      <w:pPr>
        <w:ind w:firstLine="480"/>
        <w:pageBreakBefore w:val="0"/>
        <w:spacing w:line="240" w:lineRule="auto"/>
        <w:rPr>
          <w:rFonts w:hint="eastAsia" w:ascii="宋体" w:hAnsi="宋体"/>
          <w:color w:val="auto"/>
          <w:sz w:val="24"/>
          <w:szCs w:val="24"/>
          <w:highlight w:val="none"/>
        </w:rPr>
        <w:outlineLvl w:val="9"/>
      </w:pPr>
      <w:r>
        <w:rPr>
          <w:highlight w:val="none"/>
        </w:r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Pr>
          <w:highlight w:val="none"/>
        </w:rPr>
      </w:r>
      <w:r>
        <w:rPr>
          <w:highlight w:val="none"/>
        </w:rP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分钟</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内完成系统报价。供应商未在磋商小组规定的时间内在苏采云系统中提交最后报价的视为放弃磋商，其响应文件按无效响应处理。</w:t>
      </w:r>
      <w:r>
        <w:rPr>
          <w:highlight w:val="none"/>
        </w:rP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8985267"/>
      <w:r>
        <w:rPr>
          <w:highlight w:val="none"/>
        </w:rPr>
      </w:r>
      <w:bookmarkStart w:id="61" w:name="_Toc35393625"/>
      <w:r>
        <w:rPr>
          <w:highlight w:val="none"/>
        </w:rPr>
      </w:r>
      <w:bookmarkStart w:id="62" w:name="_Toc28359084"/>
      <w:r>
        <w:rPr>
          <w:highlight w:val="none"/>
        </w:rPr>
      </w:r>
      <w:bookmarkStart w:id="63" w:name="_Toc35393794"/>
      <w:r>
        <w:rPr>
          <w:highlight w:val="none"/>
        </w:rPr>
      </w:r>
      <w:bookmarkStart w:id="64" w:name="_Toc28359007"/>
      <w:r>
        <w:rPr>
          <w:highlight w:val="none"/>
        </w:rPr>
      </w:r>
      <w:r>
        <w:rPr>
          <w:highlight w:val="none"/>
        </w:rP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rPr>
          <w:highlight w:val="none"/>
        </w:rP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rPr>
          <w:highlight w:val="none"/>
        </w:rP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rPr>
          <w:highlight w:val="none"/>
        </w:rPr>
      </w:r>
    </w:p>
    <w:p>
      <w:pPr>
        <w:pageBreakBefore w:val="0"/>
        <w:spacing w:line="240" w:lineRule="auto"/>
        <w:rPr>
          <w:rFonts w:hint="eastAsia"/>
          <w:color w:val="auto"/>
          <w:highlight w:val="none"/>
        </w:rPr>
      </w:pPr>
      <w:r>
        <w:rPr>
          <w:rFonts w:hint="eastAsia"/>
          <w:color w:val="auto"/>
          <w:highlight w:val="none"/>
        </w:rPr>
      </w:r>
      <w:r>
        <w:rPr>
          <w:highlight w:val="none"/>
        </w:rPr>
      </w:r>
    </w:p>
    <w:p>
      <w:pPr>
        <w:ind w:firstLine="498"/>
        <w:keepLines/>
        <w:keepNext/>
        <w:pageBreakBefore w:val="0"/>
        <w:spacing w:line="240" w:lineRule="auto"/>
        <w:rPr>
          <w:rFonts w:ascii="Times New Roman" w:hAnsi="Times New Roman"/>
          <w:b/>
          <w:bCs/>
          <w:color w:val="auto"/>
          <w:sz w:val="32"/>
          <w:szCs w:val="32"/>
          <w:highlight w:val="none"/>
        </w:rPr>
        <w:outlineLvl w:val="1"/>
      </w:pPr>
      <w:r>
        <w:rPr>
          <w:highlight w:val="none"/>
        </w:rPr>
      </w:r>
      <w:bookmarkStart w:id="65" w:name="_Toc24619"/>
      <w:r>
        <w:rPr>
          <w:highlight w:val="none"/>
        </w:rPr>
      </w:r>
      <w:bookmarkStart w:id="66" w:name="_Toc28745"/>
      <w:r>
        <w:rPr>
          <w:highlight w:val="none"/>
        </w:rPr>
      </w:r>
      <w:bookmarkStart w:id="67" w:name="_Toc20933"/>
      <w:r>
        <w:rPr>
          <w:highlight w:val="none"/>
        </w:rPr>
      </w:r>
      <w:bookmarkStart w:id="68" w:name="_Toc13559"/>
      <w:r>
        <w:rPr>
          <w:rFonts w:hint="eastAsia" w:ascii="Times New Roman" w:hAnsi="Times New Roman"/>
          <w:b/>
          <w:bCs/>
          <w:color w:val="auto"/>
          <w:sz w:val="32"/>
          <w:szCs w:val="32"/>
          <w:highlight w:val="none"/>
        </w:rPr>
        <w:t xml:space="preserve">五、公告期限</w:t>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r>
        <w:rPr>
          <w:highlight w:val="none"/>
        </w:rPr>
      </w:r>
    </w:p>
    <w:p>
      <w:pPr>
        <w:ind w:firstLine="480"/>
        <w:pageBreakBefore w:val="0"/>
        <w:spacing w:line="240" w:lineRule="auto"/>
        <w:rPr>
          <w:rFonts w:hint="eastAsia" w:ascii="Times New Roman" w:hAnsi="Times New Roman"/>
          <w:b/>
          <w:bCs/>
          <w:color w:val="auto"/>
          <w:sz w:val="24"/>
          <w:szCs w:val="24"/>
          <w:highlight w:val="none"/>
        </w:rPr>
      </w:pPr>
      <w:r>
        <w:rPr>
          <w:highlight w:val="none"/>
        </w:rPr>
      </w:r>
      <w:bookmarkStart w:id="69" w:name="_Toc38985268"/>
      <w:r>
        <w:rPr>
          <w:highlight w:val="none"/>
        </w:rPr>
      </w:r>
      <w:bookmarkStart w:id="70" w:name="_Toc35393626"/>
      <w:r>
        <w:rPr>
          <w:highlight w:val="none"/>
        </w:rPr>
      </w:r>
      <w:bookmarkStart w:id="71" w:name="_Toc35393795"/>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rPr>
          <w:highlight w:val="none"/>
        </w:rPr>
      </w:r>
    </w:p>
    <w:p>
      <w:pPr>
        <w:pageBreakBefore w:val="0"/>
        <w:spacing w:line="240" w:lineRule="auto"/>
        <w:rPr>
          <w:rFonts w:hint="eastAsia"/>
          <w:color w:val="auto"/>
          <w:highlight w:val="none"/>
        </w:rPr>
      </w:pPr>
      <w:r>
        <w:rPr>
          <w:rFonts w:hint="eastAsia"/>
          <w:color w:val="auto"/>
          <w:highlight w:val="none"/>
        </w:rPr>
      </w:r>
      <w:r>
        <w:rPr>
          <w:highlight w:val="none"/>
        </w:rPr>
      </w:r>
    </w:p>
    <w:p>
      <w:pPr>
        <w:ind w:firstLine="498"/>
        <w:keepLines/>
        <w:keepNext/>
        <w:pageBreakBefore w:val="0"/>
        <w:spacing w:line="240" w:lineRule="auto"/>
        <w:rPr>
          <w:rFonts w:ascii="Times New Roman" w:hAnsi="Times New Roman"/>
          <w:b/>
          <w:bCs/>
          <w:color w:val="auto"/>
          <w:sz w:val="32"/>
          <w:szCs w:val="32"/>
          <w:highlight w:val="none"/>
        </w:rPr>
        <w:outlineLvl w:val="1"/>
      </w:pPr>
      <w:r>
        <w:rPr>
          <w:highlight w:val="none"/>
        </w:rPr>
      </w:r>
      <w:bookmarkStart w:id="72" w:name="_Toc22029"/>
      <w:r>
        <w:rPr>
          <w:highlight w:val="none"/>
        </w:rPr>
      </w:r>
      <w:bookmarkStart w:id="73" w:name="_Toc31138"/>
      <w:r>
        <w:rPr>
          <w:highlight w:val="none"/>
        </w:rPr>
      </w:r>
      <w:bookmarkStart w:id="74" w:name="_Toc3992"/>
      <w:r>
        <w:rPr>
          <w:highlight w:val="none"/>
        </w:rPr>
      </w:r>
      <w:bookmarkStart w:id="75" w:name="_Toc1922"/>
      <w:r>
        <w:rPr>
          <w:rFonts w:hint="eastAsia" w:ascii="Times New Roman" w:hAnsi="Times New Roman"/>
          <w:b/>
          <w:bCs/>
          <w:color w:val="auto"/>
          <w:sz w:val="32"/>
          <w:szCs w:val="32"/>
          <w:highlight w:val="none"/>
        </w:rPr>
        <w:t xml:space="preserve">六、其他补充事宜</w:t>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highlight w:val="none"/>
        </w:r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（3）“CA数字证书”的获取：</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rPr>
          <w:highlight w:val="none"/>
        </w:rPr>
      </w:r>
    </w:p>
    <w:p>
      <w:pPr>
        <w:ind w:firstLine="482"/>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highlight w:val="none"/>
        </w:rPr>
      </w:r>
      <w:bookmarkStart w:id="77" w:name="_Toc35393627"/>
      <w:r>
        <w:rPr>
          <w:highlight w:val="none"/>
        </w:rPr>
      </w:r>
      <w:bookmarkStart w:id="78" w:name="_Toc35393796"/>
      <w:r>
        <w:rPr>
          <w:highlight w:val="none"/>
        </w:rPr>
      </w:r>
      <w:bookmarkStart w:id="79" w:name="_Toc28359085"/>
      <w:r>
        <w:rPr>
          <w:highlight w:val="none"/>
        </w:rPr>
      </w:r>
      <w:bookmarkStart w:id="80" w:name="_Toc28359008"/>
      <w:r>
        <w:rPr>
          <w:highlight w:val="none"/>
        </w:rPr>
      </w:r>
      <w:bookmarkStart w:id="81" w:name="_Toc38985269"/>
      <w:r>
        <w:rPr>
          <w:highlight w:val="none"/>
        </w:rPr>
      </w:r>
      <w:r>
        <w:rPr>
          <w:highlight w:val="none"/>
        </w:rP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rPr>
          <w:highlight w:val="none"/>
        </w:rPr>
      </w:r>
      <w:bookmarkStart w:id="82" w:name="_Toc6796"/>
      <w:r>
        <w:rPr>
          <w:highlight w:val="none"/>
        </w:rPr>
      </w:r>
      <w:bookmarkStart w:id="83" w:name="_Toc31707"/>
      <w:r>
        <w:rPr>
          <w:highlight w:val="none"/>
        </w:rPr>
      </w:r>
      <w:bookmarkStart w:id="84" w:name="_Toc14095"/>
      <w:r>
        <w:rPr>
          <w:highlight w:val="none"/>
        </w:rPr>
      </w:r>
      <w:bookmarkStart w:id="85" w:name="_Toc21311"/>
      <w:r>
        <w:rPr>
          <w:rFonts w:hint="eastAsia" w:ascii="Times New Roman" w:hAnsi="Times New Roman"/>
          <w:b/>
          <w:bCs/>
          <w:color w:val="auto"/>
          <w:sz w:val="32"/>
          <w:szCs w:val="32"/>
          <w:highlight w:val="none"/>
        </w:rPr>
        <w:t xml:space="preserve">七、本次磋商联系方式</w:t>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Start w:id="86" w:name="_Toc28359087"/>
      <w:r>
        <w:rPr>
          <w:highlight w:val="none"/>
        </w:rPr>
      </w:r>
      <w:bookmarkStart w:id="87" w:name="_Toc28359010"/>
      <w:r>
        <w:rPr>
          <w:highlight w:val="none"/>
        </w:rPr>
      </w:r>
      <w:bookmarkEnd w:id="86"/>
      <w:r>
        <w:rPr>
          <w:highlight w:val="none"/>
        </w:rPr>
      </w:r>
      <w:bookmarkEnd w:id="87"/>
      <w:r>
        <w:rPr>
          <w:highlight w:val="none"/>
        </w:rPr>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highlight w:val="none"/>
        </w:rPr>
      </w:r>
      <w:bookmarkStart w:id="88" w:name="_Toc7320"/>
      <w:r>
        <w:rPr>
          <w:rFonts w:hint="eastAsia" w:ascii="宋体" w:hAnsi="宋体" w:eastAsia="宋体" w:cs="宋体"/>
          <w:color w:val="auto"/>
          <w:sz w:val="24"/>
          <w:szCs w:val="24"/>
          <w:highlight w:val="none"/>
        </w:rPr>
        <w:t xml:space="preserve">1.采购人信息</w:t>
      </w:r>
      <w:bookmarkEnd w:id="88"/>
      <w:r>
        <w:rPr>
          <w:highlight w:val="none"/>
        </w:rPr>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名称：南通市第二人民医院</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地址：南通市崇川区新华路298号</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联系人：江宇彤</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联系方式：0513-55076887</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highlight w:val="none"/>
        </w:rPr>
      </w:r>
      <w:bookmarkStart w:id="89" w:name="_Toc19341"/>
      <w:r>
        <w:rPr>
          <w:rFonts w:hint="eastAsia" w:ascii="宋体" w:hAnsi="宋体" w:eastAsia="宋体" w:cs="宋体"/>
          <w:color w:val="auto"/>
          <w:sz w:val="24"/>
          <w:szCs w:val="24"/>
          <w:highlight w:val="none"/>
        </w:rPr>
        <w:t xml:space="preserve">2.采购代理机构信息</w:t>
      </w:r>
      <w:bookmarkEnd w:id="89"/>
      <w:r>
        <w:rPr>
          <w:highlight w:val="none"/>
        </w:rPr>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地址：南京市鼓楼区中央路19号金峰大厦1909室</w:t>
      </w:r>
      <w:r>
        <w:rPr>
          <w:highlight w:val="none"/>
        </w:rP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 ：杜淑娴、潘保婕</w:t>
      </w:r>
      <w:r>
        <w:rPr>
          <w:highlight w:val="none"/>
        </w:rP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15189830991</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highlight w:val="none"/>
        </w:rPr>
      </w:r>
      <w:bookmarkStart w:id="90" w:name="_Toc12959"/>
      <w:r>
        <w:rPr>
          <w:rFonts w:hint="eastAsia" w:ascii="宋体" w:hAnsi="宋体" w:eastAsia="宋体" w:cs="宋体"/>
          <w:color w:val="auto"/>
          <w:sz w:val="24"/>
          <w:szCs w:val="24"/>
          <w:highlight w:val="none"/>
        </w:rPr>
        <w:t xml:space="preserve">3.项目联系方式</w:t>
      </w:r>
      <w:bookmarkEnd w:id="90"/>
      <w:r>
        <w:rPr>
          <w:highlight w:val="none"/>
        </w:rPr>
      </w:r>
      <w:r>
        <w:rPr>
          <w:highlight w:val="none"/>
        </w:rP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项目联系人：潘永刚</w:t>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rPr>
          <w:highlight w:val="none"/>
        </w:rPr>
      </w:r>
    </w:p>
    <w:p>
      <w:pPr>
        <w:keepLines/>
        <w:keepNext/>
        <w:pageBreakBefore w:val="0"/>
        <w:spacing w:line="240" w:lineRule="auto"/>
        <w:rPr>
          <w:rFonts w:hint="eastAsia" w:ascii="Times New Roman" w:hAnsi="Times New Roman" w:eastAsia="宋体" w:cs="Times New Roman"/>
          <w:b/>
          <w:bCs/>
          <w:color w:val="auto"/>
          <w:sz w:val="32"/>
          <w:szCs w:val="32"/>
          <w:highlight w:val="none"/>
        </w:rPr>
        <w:outlineLvl w:val="9"/>
      </w:pPr>
      <w:r>
        <w:rPr>
          <w:highlight w:val="none"/>
        </w:rPr>
      </w:r>
      <w:bookmarkStart w:id="91" w:name="_Toc1744"/>
      <w:r>
        <w:rPr>
          <w:highlight w:val="none"/>
        </w:rPr>
      </w:r>
      <w:bookmarkStart w:id="92" w:name="_Toc15935"/>
      <w:r>
        <w:rPr>
          <w:highlight w:val="none"/>
        </w:rPr>
      </w:r>
      <w:bookmarkStart w:id="93" w:name="_Toc19964"/>
      <w:r>
        <w:rPr>
          <w:highlight w:val="none"/>
        </w:rPr>
      </w:r>
      <w:bookmarkStart w:id="94" w:name="_Toc7813"/>
      <w:r>
        <w:rPr>
          <w:highlight w:val="none"/>
        </w:rPr>
      </w:r>
      <w:r>
        <w:rPr>
          <w:highlight w:val="none"/>
        </w:rP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rPr>
          <w:highlight w:val="none"/>
        </w:rPr>
      </w:r>
      <w:bookmarkEnd w:id="92"/>
      <w:r>
        <w:rPr>
          <w:highlight w:val="none"/>
        </w:rPr>
      </w:r>
      <w:bookmarkEnd w:id="93"/>
      <w:r>
        <w:rPr>
          <w:highlight w:val="none"/>
        </w:rPr>
      </w:r>
      <w:bookmarkEnd w:id="94"/>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采购人信用承诺书</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公平竞争审查</w:t>
      </w:r>
      <w:r>
        <w:rPr>
          <w:rFonts w:hint="eastAsia" w:ascii="宋体" w:hAnsi="宋体" w:cs="宋体"/>
          <w:color w:val="auto"/>
          <w:sz w:val="24"/>
          <w:szCs w:val="24"/>
          <w:highlight w:val="none"/>
          <w:lang w:val="en-US" w:eastAsia="zh-CN"/>
        </w:rPr>
        <w:t xml:space="preserve">二维码</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 政采贷和履约保函告知函</w:t>
      </w:r>
      <w:r>
        <w:rPr>
          <w:highlight w:val="none"/>
        </w:rPr>
      </w:r>
    </w:p>
    <w:p>
      <w:pPr>
        <w:pStyle w:val="1100"/>
        <w:rPr>
          <w:rFonts w:hint="default"/>
          <w:color w:val="auto"/>
          <w:highlight w:val="none"/>
        </w:rPr>
      </w:pPr>
      <w:r>
        <w:rPr>
          <w:rFonts w:hint="default"/>
          <w:color w:val="auto"/>
          <w:highlight w:val="none"/>
          <w:lang w:val="en-US" w:eastAsia="zh-CN"/>
        </w:rPr>
      </w:r>
      <w:r>
        <w:rPr>
          <w:highlight w:val="none"/>
        </w:rPr>
      </w:r>
    </w:p>
    <w:p>
      <w:pPr>
        <w:pStyle w:val="1083"/>
        <w:pageBreakBefore w:val="0"/>
        <w:spacing w:line="240" w:lineRule="auto"/>
        <w:rPr>
          <w:rFonts w:hint="eastAsia"/>
          <w:color w:val="auto"/>
          <w:highlight w:val="none"/>
        </w:rPr>
        <w:outlineLvl w:val="9"/>
      </w:pPr>
      <w:r>
        <w:rPr>
          <w:rFonts w:hint="eastAsia"/>
          <w:color w:val="auto"/>
          <w:highlight w:val="none"/>
        </w:rPr>
      </w:r>
      <w:r>
        <w:rPr>
          <w:highlight w:val="none"/>
        </w:rPr>
      </w:r>
    </w:p>
    <w:p>
      <w:pPr>
        <w:ind w:firstLine="480"/>
        <w:jc w:val="right"/>
        <w:pageBreakBefore w:val="0"/>
        <w:spacing w:line="240" w:lineRule="auto"/>
        <w:rPr>
          <w:rFonts w:hint="default" w:ascii="宋体" w:hAnsi="宋体" w:cs="宋体"/>
          <w:color w:val="auto"/>
          <w:sz w:val="24"/>
          <w:szCs w:val="24"/>
          <w:highlight w:val="none"/>
        </w:rPr>
        <w:outlineLvl w:val="9"/>
      </w:pPr>
      <w:r>
        <w:rPr>
          <w:highlight w:val="none"/>
        </w:r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Pr>
          <w:highlight w:val="none"/>
        </w:rPr>
      </w:r>
      <w:r>
        <w:rPr>
          <w:highlight w:val="none"/>
        </w:rPr>
      </w:r>
    </w:p>
    <w:p>
      <w:pPr>
        <w:ind w:firstLine="480"/>
        <w:jc w:val="right"/>
        <w:pageBreakBefore w:val="0"/>
        <w:spacing w:line="24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2025年12月</w:t>
      </w:r>
      <w:r>
        <w:rPr>
          <w:highlight w:val="none"/>
        </w:rPr>
      </w:r>
    </w:p>
    <w:p>
      <w:pPr>
        <w:ind w:firstLine="480"/>
        <w:pageBreakBefore w:val="0"/>
        <w:spacing w:line="240" w:lineRule="auto"/>
        <w:rPr>
          <w:rFonts w:hint="eastAsia" w:ascii="宋体" w:hAnsi="宋体" w:cs="宋体"/>
          <w:color w:val="auto"/>
          <w:sz w:val="24"/>
          <w:szCs w:val="24"/>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rPr>
          <w:highlight w:val="none"/>
        </w:rPr>
      </w:r>
    </w:p>
    <w:p>
      <w:pPr>
        <w:numPr>
          <w:ilvl w:val="0"/>
          <w:numId w:val="0"/>
        </w:numPr>
        <w:jc w:val="center"/>
        <w:keepLines/>
        <w:keepNext/>
        <w:pageBreakBefore w:val="0"/>
        <w:spacing w:line="240" w:lineRule="auto"/>
        <w:rPr>
          <w:rFonts w:hint="eastAsia" w:ascii="黑体" w:hAnsi="Arial" w:eastAsia="黑体" w:cs="Arial"/>
          <w:b/>
          <w:bCs/>
          <w:color w:val="auto"/>
          <w:sz w:val="44"/>
          <w:szCs w:val="44"/>
          <w:highlight w:val="none"/>
        </w:rPr>
        <w:outlineLvl w:val="0"/>
      </w:pPr>
      <w:r>
        <w:rPr>
          <w:highlight w:val="none"/>
        </w:rPr>
      </w:r>
      <w:bookmarkStart w:id="96" w:name="_Toc120614211"/>
      <w:r>
        <w:rPr>
          <w:rFonts w:hint="eastAsia" w:ascii="黑体" w:hAnsi="Arial" w:eastAsia="黑体" w:cs="Arial"/>
          <w:b/>
          <w:bCs/>
          <w:color w:val="auto"/>
          <w:sz w:val="44"/>
          <w:szCs w:val="44"/>
          <w:highlight w:val="none"/>
          <w:lang w:val="en-US" w:eastAsia="zh-CN" w:bidi="ar-SA"/>
        </w:rPr>
        <w:t xml:space="preserve">第二章</w:t>
      </w:r>
      <w:r>
        <w:rPr>
          <w:rFonts w:hint="eastAsia" w:ascii="黑体" w:hAnsi="Arial" w:eastAsia="黑体" w:cs="Arial"/>
          <w:b/>
          <w:bCs/>
          <w:color w:val="auto"/>
          <w:sz w:val="44"/>
          <w:szCs w:val="44"/>
          <w:highlight w:val="none"/>
        </w:rPr>
        <w:t xml:space="preserve"> </w:t>
      </w:r>
      <w:bookmarkEnd w:id="96"/>
      <w:r>
        <w:rPr>
          <w:highlight w:val="none"/>
        </w:rPr>
      </w:r>
      <w:bookmarkStart w:id="97" w:name="_Toc18360"/>
      <w:r>
        <w:rPr>
          <w:highlight w:val="none"/>
        </w:rPr>
      </w:r>
      <w:bookmarkStart w:id="98" w:name="_Toc29672"/>
      <w:r>
        <w:rPr>
          <w:highlight w:val="none"/>
        </w:rPr>
      </w:r>
      <w:bookmarkStart w:id="99" w:name="_Toc26429"/>
      <w:r>
        <w:rPr>
          <w:highlight w:val="none"/>
        </w:rPr>
      </w:r>
      <w:bookmarkStart w:id="100" w:name="_Toc5319"/>
      <w:r>
        <w:rPr>
          <w:highlight w:val="none"/>
        </w:rPr>
      </w:r>
      <w:bookmarkStart w:id="101" w:name="_Toc2128"/>
      <w:r>
        <w:rPr>
          <w:highlight w:val="none"/>
        </w:rPr>
      </w:r>
      <w:bookmarkStart w:id="102" w:name="_Toc4982"/>
      <w:r>
        <w:rPr>
          <w:rFonts w:hint="eastAsia" w:ascii="黑体" w:hAnsi="Arial" w:eastAsia="黑体" w:cs="Arial"/>
          <w:b/>
          <w:bCs/>
          <w:color w:val="auto"/>
          <w:sz w:val="44"/>
          <w:szCs w:val="44"/>
          <w:highlight w:val="none"/>
        </w:rPr>
        <w:t xml:space="preserve">供应商须知</w:t>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r>
        <w:rPr>
          <w:highlight w:val="none"/>
        </w:rP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rPr>
          <w:highlight w:val="none"/>
        </w:rPr>
      </w:r>
    </w:p>
    <w:p>
      <w:pPr>
        <w:jc w:val="center"/>
        <w:keepLines/>
        <w:keepNext/>
        <w:pageBreakBefore w:val="0"/>
        <w:spacing w:line="240" w:lineRule="auto"/>
        <w:rPr>
          <w:rFonts w:hint="eastAsia" w:ascii="Times New Roman" w:hAnsi="Times New Roman"/>
          <w:b/>
          <w:bCs/>
          <w:color w:val="auto"/>
          <w:sz w:val="32"/>
          <w:szCs w:val="32"/>
          <w:highlight w:val="none"/>
        </w:rPr>
        <w:outlineLvl w:val="1"/>
      </w:pPr>
      <w:r>
        <w:rPr>
          <w:highlight w:val="none"/>
        </w:rPr>
      </w:r>
      <w:bookmarkStart w:id="103" w:name="_Toc6127"/>
      <w:r>
        <w:rPr>
          <w:highlight w:val="none"/>
        </w:rPr>
      </w:r>
      <w:bookmarkStart w:id="104" w:name="_Toc5404"/>
      <w:r>
        <w:rPr>
          <w:highlight w:val="none"/>
        </w:rPr>
      </w:r>
      <w:bookmarkStart w:id="105" w:name="_Toc31447"/>
      <w:r>
        <w:rPr>
          <w:highlight w:val="none"/>
        </w:rPr>
      </w:r>
      <w:bookmarkStart w:id="106" w:name="_Toc19241"/>
      <w:r>
        <w:rPr>
          <w:rFonts w:hint="eastAsia" w:ascii="Times New Roman" w:hAnsi="Times New Roman"/>
          <w:b/>
          <w:bCs/>
          <w:color w:val="auto"/>
          <w:sz w:val="32"/>
          <w:szCs w:val="32"/>
          <w:highlight w:val="none"/>
        </w:rPr>
        <w:t xml:space="preserve">前附表</w:t>
      </w:r>
      <w:bookmarkEnd w:id="103"/>
      <w:r>
        <w:rPr>
          <w:highlight w:val="none"/>
        </w:rPr>
      </w:r>
      <w:bookmarkEnd w:id="104"/>
      <w:r>
        <w:rPr>
          <w:highlight w:val="none"/>
        </w:rPr>
      </w:r>
      <w:bookmarkEnd w:id="105"/>
      <w:r>
        <w:rPr>
          <w:highlight w:val="none"/>
        </w:rPr>
      </w:r>
      <w:bookmarkEnd w:id="106"/>
      <w:r>
        <w:rPr>
          <w:highlight w:val="none"/>
        </w:rPr>
      </w:r>
      <w:r>
        <w:rPr>
          <w:highlight w:val="none"/>
        </w:rPr>
      </w:r>
    </w:p>
    <w:p>
      <w:pPr>
        <w:pStyle w:val="1085"/>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rPr>
          <w:highlight w:val="none"/>
        </w:rPr>
      </w:r>
    </w:p>
    <w:tbl>
      <w:tblPr>
        <w:tblStyle w:val="1096"/>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713"/>
        <w:gridCol w:w="8040"/>
      </w:tblGrid>
      <w:tr>
        <w:trPr>
          <w:jc w:val="center"/>
          <w:trHeight w:val="375"/>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序号</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事项</w:t>
            </w:r>
            <w:r>
              <w:rPr>
                <w:highlight w:val="none"/>
              </w:rPr>
            </w:r>
          </w:p>
        </w:tc>
        <w:tc>
          <w:tcPr>
            <w:tcW w:w="6879" w:type="dxa"/>
            <w:vAlign w:val="center"/>
            <w:textDirection w:val="lrTb"/>
            <w:noWrap w:val="false"/>
          </w:tcPr>
          <w:p>
            <w:pPr>
              <w:pStyle w:val="1082"/>
              <w:ind w:firstLine="0"/>
              <w:jc w:val="cente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本项目规定</w:t>
            </w:r>
            <w:r>
              <w:rPr>
                <w:highlight w:val="none"/>
              </w:rPr>
            </w:r>
          </w:p>
        </w:tc>
      </w:tr>
      <w:tr>
        <w:trPr>
          <w:jc w:val="center"/>
          <w:trHeight w:val="662"/>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项目概况</w:t>
            </w:r>
            <w:r>
              <w:rPr>
                <w:highlight w:val="none"/>
              </w:rPr>
            </w:r>
          </w:p>
        </w:tc>
        <w:tc>
          <w:tcPr>
            <w:tcW w:w="6879" w:type="dxa"/>
            <w:vAlign w:val="center"/>
            <w:textDirection w:val="lrTb"/>
            <w:noWrap w:val="false"/>
          </w:tcPr>
          <w:p>
            <w:pPr>
              <w:pStyle w:val="1101"/>
              <w:ind w:left="0" w:firstLine="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南通市第二人民医院</w:t>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南通市第二人民医院无创脑深部神经电刺激系统采购项目</w:t>
            </w:r>
            <w:r>
              <w:rPr>
                <w:highlight w:val="none"/>
              </w:rPr>
            </w:r>
          </w:p>
        </w:tc>
      </w:tr>
      <w:tr>
        <w:trPr>
          <w:jc w:val="center"/>
          <w:trHeight w:val="1119"/>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项目属性</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u w:val="single"/>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rPr>
                <w:highlight w:val="none"/>
              </w:rPr>
            </w:r>
          </w:p>
          <w:p>
            <w:pPr>
              <w:pStyle w:val="1082"/>
              <w:ind w:firstLine="482"/>
              <w:pageBreakBefore w:val="0"/>
              <w:spacing w:line="240" w:lineRule="auto"/>
              <w:rPr>
                <w:rFonts w:hint="eastAsia" w:ascii="宋体" w:hAnsi="宋体" w:eastAsia="宋体" w:cs="宋体"/>
                <w:color w:val="auto"/>
                <w:sz w:val="24"/>
                <w:szCs w:val="24"/>
                <w:highlight w:val="none"/>
                <w:u w:val="single"/>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w:t>
            </w:r>
            <w:r>
              <w:rPr>
                <w:rFonts w:hint="eastAsia" w:ascii="宋体" w:hAnsi="宋体" w:eastAsia="宋体" w:cs="宋体"/>
                <w:color w:val="auto"/>
                <w:sz w:val="24"/>
                <w:szCs w:val="24"/>
                <w:highlight w:val="none"/>
                <w:lang w:val="en-US" w:eastAsia="zh-CN" w:bidi="ar-SA"/>
              </w:rPr>
              <w:t xml:space="preserve">，核心产品为：</w:t>
            </w:r>
            <w:r>
              <w:rPr>
                <w:rFonts w:hint="eastAsia" w:ascii="宋体" w:hAnsi="宋体" w:eastAsia="宋体" w:cs="宋体"/>
                <w:color w:val="auto"/>
                <w:sz w:val="24"/>
                <w:szCs w:val="24"/>
                <w:highlight w:val="none"/>
                <w:u w:val="single"/>
                <w:lang w:val="en-US" w:eastAsia="zh-CN" w:bidi="ar-SA"/>
              </w:rPr>
              <w:t xml:space="preserve">       </w:t>
            </w:r>
            <w:r>
              <w:rPr>
                <w:highlight w:val="none"/>
              </w:rPr>
            </w:r>
          </w:p>
          <w:p>
            <w:pPr>
              <w:pStyle w:val="1082"/>
              <w:ind w:left="0" w:firstLine="0"/>
              <w:pageBreakBefore w:val="0"/>
              <w:spacing w:line="240" w:lineRule="auto"/>
              <w:rPr>
                <w:rFonts w:hint="eastAsia" w:ascii="宋体" w:hAnsi="宋体" w:eastAsia="宋体" w:cs="宋体"/>
                <w:b w:val="0"/>
                <w:bCs w:val="0"/>
                <w:color w:val="auto"/>
                <w:sz w:val="24"/>
                <w:szCs w:val="24"/>
                <w:highlight w:val="none"/>
                <w:u w:val="none"/>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rPr>
                <w:highlight w:val="none"/>
              </w:rPr>
            </w:r>
          </w:p>
        </w:tc>
      </w:tr>
      <w:tr>
        <w:trPr>
          <w:jc w:val="center"/>
          <w:trHeight w:val="425"/>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采购方式</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rPr>
                <w:highlight w:val="none"/>
              </w:rPr>
            </w:r>
          </w:p>
        </w:tc>
      </w:tr>
      <w:tr>
        <w:trPr>
          <w:jc w:val="center"/>
          <w:trHeight w:val="844"/>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评标方法</w:t>
            </w:r>
            <w:r>
              <w:rPr>
                <w:highlight w:val="none"/>
              </w:rPr>
            </w:r>
          </w:p>
        </w:tc>
        <w:tc>
          <w:tcPr>
            <w:tcW w:w="6879" w:type="dxa"/>
            <w:vAlign w:val="center"/>
            <w:textDirection w:val="lrTb"/>
            <w:noWrap w:val="false"/>
          </w:tcPr>
          <w:p>
            <w:pPr>
              <w:pStyle w:val="1101"/>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rPr>
                <w:highlight w:val="none"/>
              </w:rPr>
            </w:r>
          </w:p>
          <w:p>
            <w:pPr>
              <w:pStyle w:val="1101"/>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rPr>
                <w:highlight w:val="none"/>
              </w:rPr>
            </w:r>
          </w:p>
          <w:p>
            <w:pPr>
              <w:pStyle w:val="1082"/>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rPr>
                <w:highlight w:val="none"/>
              </w:rPr>
            </w:r>
          </w:p>
        </w:tc>
      </w:tr>
      <w:tr>
        <w:trPr>
          <w:jc w:val="center"/>
          <w:trHeight w:val="1148"/>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报价要求</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rPr>
                <w:highlight w:val="none"/>
              </w:rPr>
            </w:r>
          </w:p>
          <w:p>
            <w:pPr>
              <w:pStyle w:val="1082"/>
              <w:ind w:firstLine="0"/>
              <w:pageBreakBefore w:val="0"/>
              <w:spacing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rPr>
                <w:highlight w:val="none"/>
              </w:rPr>
            </w:r>
          </w:p>
          <w:p>
            <w:pPr>
              <w:pStyle w:val="1082"/>
              <w:ind w:firstLine="0"/>
              <w:pageBreakBefore w:val="0"/>
              <w:spacing w:line="24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rPr>
                <w:highlight w:val="none"/>
              </w:rPr>
            </w:r>
          </w:p>
          <w:p>
            <w:pPr>
              <w:pStyle w:val="1082"/>
              <w:ind w:firstLine="0"/>
              <w:pageBreakBefore w:val="0"/>
              <w:spacing w:line="240" w:lineRule="auto"/>
              <w:rPr>
                <w:rFonts w:hint="default"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color w:val="auto"/>
                <w:sz w:val="24"/>
                <w:szCs w:val="24"/>
                <w:highlight w:val="none"/>
                <w:lang w:val="en-US" w:eastAsia="zh-CN" w:bidi="ar-SA"/>
              </w:rPr>
              <w:t xml:space="preserve">：</w:t>
            </w:r>
            <w:r>
              <w:rPr>
                <w:rFonts w:hint="eastAsia" w:ascii="宋体" w:hAnsi="宋体" w:cs="宋体"/>
                <w:b/>
                <w:bCs/>
                <w:color w:val="auto"/>
                <w:sz w:val="24"/>
                <w:szCs w:val="24"/>
                <w:highlight w:val="none"/>
                <w:u w:val="single"/>
                <w:lang w:val="en-US" w:eastAsia="zh-CN" w:bidi="ar-SA"/>
              </w:rPr>
              <w:t xml:space="preserve">/</w:t>
            </w:r>
            <w:r>
              <w:rPr>
                <w:highlight w:val="none"/>
              </w:rPr>
            </w:r>
          </w:p>
        </w:tc>
      </w:tr>
      <w:tr>
        <w:trPr>
          <w:jc w:val="center"/>
          <w:trHeight w:val="1615"/>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分包要求</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w:t>
            </w:r>
            <w:bookmarkStart w:id="478" w:name="_GoBack"/>
            <w:r>
              <w:rPr>
                <w:highlight w:val="none"/>
              </w:rPr>
            </w:r>
            <w:bookmarkEnd w:id="478"/>
            <w:r>
              <w:rPr>
                <w:rFonts w:hint="eastAsia" w:ascii="宋体" w:hAnsi="宋体" w:eastAsia="宋体" w:cs="宋体"/>
                <w:color w:val="auto"/>
                <w:sz w:val="24"/>
                <w:szCs w:val="24"/>
                <w:highlight w:val="none"/>
                <w:lang w:val="en-US" w:eastAsia="zh-CN" w:bidi="ar-SA"/>
              </w:rPr>
              <w:t xml:space="preserve">业扶持政策获得政府采购合同的，小微企业不得将合同分包给大中型企业，中型企业不得将合同分包给大型企业。</w:t>
            </w:r>
            <w:r>
              <w:rPr>
                <w:highlight w:val="none"/>
              </w:rPr>
            </w:r>
          </w:p>
        </w:tc>
      </w:tr>
      <w:tr>
        <w:trPr>
          <w:jc w:val="center"/>
          <w:trHeight w:val="2108"/>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进口产品</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u w:val="single"/>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B可以采购进口产品，</w:t>
            </w:r>
            <w:r>
              <w:rPr>
                <w:rFonts w:hint="eastAsia" w:ascii="宋体" w:hAnsi="宋体" w:eastAsia="宋体" w:cs="宋体"/>
                <w:color w:val="auto"/>
                <w:sz w:val="24"/>
                <w:szCs w:val="24"/>
                <w:highlight w:val="none"/>
                <w:lang w:val="en-US" w:eastAsia="zh-CN" w:bidi="ar-SA"/>
              </w:rPr>
              <w:t xml:space="preserve">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rPr>
                <w:highlight w:val="none"/>
              </w:rPr>
            </w:r>
          </w:p>
        </w:tc>
      </w:tr>
      <w:tr>
        <w:trPr>
          <w:jc w:val="center"/>
          <w:trHeight w:val="235"/>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中小企业</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rPr>
                <w:highlight w:val="none"/>
              </w:rPr>
            </w:r>
          </w:p>
          <w:p>
            <w:pPr>
              <w:pStyle w:val="1082"/>
              <w:ind w:firstLine="0"/>
              <w:pageBreakBefore w:val="0"/>
              <w:spacing w:line="240" w:lineRule="auto"/>
              <w:rPr>
                <w:rFonts w:hint="eastAsia" w:ascii="宋体" w:hAnsi="宋体" w:eastAsia="宋体" w:cs="宋体"/>
                <w:b/>
                <w:bCs/>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rPr>
                <w:rFonts w:hint="eastAsia" w:ascii="宋体" w:hAnsi="宋体" w:eastAsia="宋体" w:cs="宋体"/>
                <w:b/>
                <w:bCs/>
                <w:color w:val="auto"/>
                <w:sz w:val="24"/>
                <w:szCs w:val="24"/>
                <w:highlight w:val="none"/>
                <w:u w:val="none"/>
                <w:lang w:val="en-US" w:eastAsia="zh-CN"/>
              </w:rPr>
              <w:t xml:space="preserve">。</w:t>
            </w:r>
            <w:r>
              <w:rPr>
                <w:highlight w:val="none"/>
              </w:rPr>
            </w:r>
          </w:p>
          <w:p>
            <w:pPr>
              <w:pStyle w:val="1082"/>
              <w:ind w:firstLine="0"/>
              <w:pageBreakBefore w:val="0"/>
              <w:spacing w:line="240" w:lineRule="auto"/>
              <w:rPr>
                <w:rFonts w:hint="eastAsia" w:ascii="宋体" w:hAnsi="宋体" w:eastAsia="宋体" w:cs="宋体"/>
                <w:b/>
                <w:bCs/>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tc>
      </w:tr>
      <w:tr>
        <w:trPr>
          <w:jc w:val="center"/>
          <w:trHeight w:val="291"/>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节能环保</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rPr>
                <w:highlight w:val="none"/>
              </w:rPr>
            </w:r>
          </w:p>
        </w:tc>
      </w:tr>
      <w:tr>
        <w:trPr>
          <w:jc w:val="center"/>
          <w:trHeight w:val="921"/>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标前答疑</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rPr>
                <w:highlight w:val="none"/>
              </w:rPr>
            </w:r>
          </w:p>
          <w:p>
            <w:pPr>
              <w:pStyle w:val="1082"/>
              <w:ind w:firstLine="480"/>
              <w:pageBreakBefore w:val="0"/>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highlight w:val="none"/>
              </w:rPr>
            </w:r>
          </w:p>
          <w:p>
            <w:pPr>
              <w:pStyle w:val="1082"/>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highlight w:val="none"/>
              </w:rPr>
            </w:r>
          </w:p>
        </w:tc>
      </w:tr>
      <w:tr>
        <w:trPr>
          <w:jc w:val="center"/>
          <w:trHeight w:val="1143"/>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现场勘察</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rPr>
                <w:highlight w:val="none"/>
              </w:rPr>
            </w:r>
          </w:p>
          <w:p>
            <w:pPr>
              <w:pStyle w:val="1082"/>
              <w:ind w:firstLine="0"/>
              <w:pageBreakBefore w:val="0"/>
              <w:spacing w:line="240" w:lineRule="auto"/>
              <w:rPr>
                <w:rFonts w:hint="eastAsia" w:ascii="宋体" w:hAnsi="宋体" w:eastAsia="宋体" w:cs="宋体"/>
                <w:b w:val="0"/>
                <w:bCs w:val="0"/>
                <w:color w:val="auto"/>
                <w:sz w:val="24"/>
                <w:szCs w:val="24"/>
                <w:highlight w:val="none"/>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rPr>
                <w:highlight w:val="none"/>
              </w:rPr>
            </w:r>
          </w:p>
          <w:p>
            <w:pPr>
              <w:pStyle w:val="1082"/>
              <w:ind w:firstLine="480"/>
              <w:pageBreakBefore w:val="0"/>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highlight w:val="none"/>
              </w:rPr>
            </w:r>
          </w:p>
          <w:p>
            <w:pPr>
              <w:pStyle w:val="1082"/>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highlight w:val="none"/>
              </w:rPr>
            </w:r>
          </w:p>
        </w:tc>
      </w:tr>
      <w:tr>
        <w:trPr>
          <w:jc w:val="center"/>
          <w:trHeight w:val="1362"/>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产品演示</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rPr>
                <w:highlight w:val="none"/>
              </w:rPr>
            </w:r>
          </w:p>
          <w:p>
            <w:pPr>
              <w:pStyle w:val="1082"/>
              <w:ind w:firstLine="48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rPr>
                <w:highlight w:val="none"/>
              </w:rPr>
            </w:r>
          </w:p>
          <w:p>
            <w:pPr>
              <w:pStyle w:val="1082"/>
              <w:ind w:firstLine="48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rPr>
                <w:highlight w:val="none"/>
              </w:rPr>
            </w:r>
          </w:p>
        </w:tc>
      </w:tr>
      <w:tr>
        <w:trPr>
          <w:jc w:val="center"/>
          <w:trHeight w:val="3056"/>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13</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样品要求</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rPr>
                <w:highlight w:val="none"/>
              </w:rPr>
            </w:r>
          </w:p>
        </w:tc>
      </w:tr>
      <w:tr>
        <w:trPr>
          <w:jc w:val="center"/>
          <w:trHeight w:val="683"/>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14</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bCs/>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u w:val="singl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rPr>
                <w:highlight w:val="none"/>
              </w:rPr>
            </w:r>
          </w:p>
        </w:tc>
      </w:tr>
      <w:tr>
        <w:trPr>
          <w:jc w:val="center"/>
          <w:trHeight w:val="849"/>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15</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履约保证金</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b w:val="0"/>
                <w:bCs w:val="0"/>
                <w:color w:val="auto"/>
                <w:sz w:val="24"/>
                <w:szCs w:val="24"/>
                <w:highlight w:val="none"/>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A无</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B有，供应商须提交合同金额</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 10%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none"/>
                <w:lang w:val="en-US" w:eastAsia="zh-CN" w:bidi="ar-SA"/>
              </w:rPr>
              <w:t xml:space="preserve">的履约保证金，</w:t>
            </w:r>
            <w:r>
              <w:rPr>
                <w:rFonts w:hint="eastAsia" w:ascii="宋体" w:hAnsi="宋体" w:eastAsia="宋体" w:cs="宋体"/>
                <w:b/>
                <w:bCs/>
                <w:color w:val="auto"/>
                <w:sz w:val="24"/>
                <w:szCs w:val="24"/>
                <w:highlight w:val="none"/>
              </w:rPr>
              <w:t xml:space="preserve">对政府采购信用档案中无不良记录的中小企业免收履约保证金</w:t>
            </w:r>
            <w:r>
              <w:rPr>
                <w:rFonts w:hint="eastAsia" w:ascii="宋体" w:hAnsi="宋体" w:eastAsia="宋体" w:cs="宋体"/>
                <w:b/>
                <w:bCs/>
                <w:color w:val="auto"/>
                <w:sz w:val="24"/>
                <w:szCs w:val="24"/>
                <w:highlight w:val="none"/>
                <w:lang w:eastAsia="zh-CN"/>
              </w:rPr>
              <w:t xml:space="preserve">。</w:t>
            </w:r>
            <w:r>
              <w:rPr>
                <w:highlight w:val="none"/>
              </w:rPr>
            </w:r>
          </w:p>
        </w:tc>
      </w:tr>
      <w:tr>
        <w:trPr>
          <w:jc w:val="center"/>
          <w:trHeight w:val="90"/>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16</w:t>
            </w:r>
            <w:r>
              <w:rPr>
                <w:highlight w:val="none"/>
              </w:rP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rPr>
                <w:highlight w:val="none"/>
              </w:rPr>
            </w:r>
          </w:p>
          <w:p>
            <w:pPr>
              <w:pStyle w:val="1082"/>
              <w:ind w:firstLine="0"/>
              <w:pageBreakBefore w:val="0"/>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rPr>
                <w:highlight w:val="none"/>
              </w:rPr>
            </w:r>
          </w:p>
          <w:p>
            <w:pPr>
              <w:pStyle w:val="1082"/>
              <w:ind w:firstLine="720"/>
              <w:pageBreakBefore w:val="0"/>
              <w:spacing w:line="240" w:lineRule="auto"/>
              <w:rPr>
                <w:rFonts w:hint="eastAsia" w:ascii="宋体" w:hAnsi="宋体" w:eastAsia="宋体" w:cs="宋体"/>
                <w:color w:val="auto"/>
                <w:sz w:val="24"/>
                <w:szCs w:val="24"/>
                <w:highlight w:val="none"/>
                <w:u w:val="singl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rPr>
                <w:highlight w:val="none"/>
              </w:rPr>
            </w:r>
          </w:p>
          <w:p>
            <w:pPr>
              <w:pStyle w:val="1082"/>
              <w:ind w:firstLine="723"/>
              <w:pageBreakBefore w:val="0"/>
              <w:spacing w:line="240" w:lineRule="auto"/>
              <w:rPr>
                <w:rFonts w:hint="eastAsia" w:ascii="宋体" w:hAnsi="宋体" w:eastAsia="宋体" w:cs="宋体"/>
                <w:color w:val="auto"/>
                <w:sz w:val="24"/>
                <w:szCs w:val="24"/>
                <w:highlight w:val="none"/>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C参照计价格〔2002〕1980号《招标代理服务收费管理暂行办法》的收费标准的65%收取；</w:t>
            </w:r>
            <w:r>
              <w:rPr>
                <w:highlight w:val="none"/>
              </w:rPr>
            </w:r>
          </w:p>
          <w:p>
            <w:pPr>
              <w:pStyle w:val="1082"/>
              <w:ind w:firstLine="720"/>
              <w:pageBreakBefore w:val="0"/>
              <w:spacing w:line="240" w:lineRule="auto"/>
              <w:rPr>
                <w:rFonts w:hint="eastAsia" w:ascii="宋体" w:hAnsi="宋体" w:eastAsia="宋体" w:cs="宋体"/>
                <w:color w:val="auto"/>
                <w:sz w:val="24"/>
                <w:szCs w:val="24"/>
                <w:highlight w:val="none"/>
                <w:u w:val="none"/>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D其他方式：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rPr>
                <w:highlight w:val="none"/>
              </w:rPr>
            </w:r>
          </w:p>
        </w:tc>
      </w:tr>
      <w:tr>
        <w:trPr>
          <w:jc w:val="center"/>
          <w:trHeight w:val="268"/>
        </w:trPr>
        <w:tc>
          <w:tcPr>
            <w:tcW w:w="719"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17</w:t>
            </w:r>
            <w:r>
              <w:rPr>
                <w:highlight w:val="none"/>
              </w:rPr>
            </w:r>
          </w:p>
        </w:tc>
        <w:tc>
          <w:tcPr>
            <w:tcW w:w="1465" w:type="dxa"/>
            <w:vAlign w:val="center"/>
            <w:textDirection w:val="lrTb"/>
            <w:noWrap w:val="false"/>
          </w:tcPr>
          <w:p>
            <w:pPr>
              <w:pStyle w:val="1082"/>
              <w:ind w:firstLine="0"/>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特别说明</w:t>
            </w:r>
            <w:r>
              <w:rPr>
                <w:highlight w:val="none"/>
              </w:rPr>
            </w:r>
          </w:p>
        </w:tc>
        <w:tc>
          <w:tcPr>
            <w:tcW w:w="6879" w:type="dxa"/>
            <w:vAlign w:val="center"/>
            <w:textDirection w:val="lrTb"/>
            <w:noWrap w:val="false"/>
          </w:tcPr>
          <w:p>
            <w:pPr>
              <w:pStyle w:val="1082"/>
              <w:ind w:firstLine="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无</w:t>
            </w:r>
            <w:r>
              <w:rPr>
                <w:highlight w:val="none"/>
              </w:rPr>
            </w:r>
          </w:p>
        </w:tc>
      </w:tr>
    </w:tbl>
    <w:p>
      <w:pPr>
        <w:pageBreakBefore w:val="0"/>
        <w:spacing w:line="240" w:lineRule="auto"/>
        <w:rPr>
          <w:rFonts w:hint="eastAsia" w:ascii="Times New Roman" w:hAnsi="Times New Roman"/>
          <w:b/>
          <w:bCs/>
          <w:color w:val="auto"/>
          <w:sz w:val="32"/>
          <w:szCs w:val="32"/>
          <w:highlight w:val="none"/>
        </w:rPr>
      </w:pPr>
      <w:r>
        <w:rPr>
          <w:highlight w:val="none"/>
        </w:rPr>
      </w:r>
      <w:bookmarkStart w:id="107" w:name="_Toc16938519"/>
      <w:r>
        <w:rPr>
          <w:highlight w:val="none"/>
        </w:rPr>
      </w:r>
      <w:bookmarkStart w:id="108" w:name="_Toc120614214"/>
      <w:r>
        <w:rPr>
          <w:highlight w:val="none"/>
        </w:rPr>
      </w:r>
      <w:bookmarkStart w:id="109" w:name="_Toc513029203"/>
      <w:r>
        <w:rPr>
          <w:highlight w:val="none"/>
        </w:rPr>
      </w:r>
      <w:bookmarkStart w:id="110" w:name="_Toc20823275"/>
      <w:r>
        <w:rPr>
          <w:rFonts w:hint="eastAsia" w:ascii="Times New Roman" w:hAnsi="Times New Roman"/>
          <w:b/>
          <w:bCs/>
          <w:color w:val="auto"/>
          <w:sz w:val="32"/>
          <w:szCs w:val="32"/>
          <w:highlight w:val="none"/>
        </w:rPr>
        <w:br w:type="page" w:clear="all"/>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highlight w:val="none"/>
        </w:rPr>
      </w:r>
      <w:bookmarkStart w:id="111" w:name="_Toc28893"/>
      <w:r>
        <w:rPr>
          <w:highlight w:val="none"/>
        </w:rPr>
      </w:r>
      <w:bookmarkStart w:id="112" w:name="_Toc24311"/>
      <w:r>
        <w:rPr>
          <w:highlight w:val="none"/>
        </w:rPr>
      </w:r>
      <w:bookmarkStart w:id="113" w:name="_Toc20601"/>
      <w:r>
        <w:rPr>
          <w:highlight w:val="none"/>
        </w:rPr>
      </w:r>
      <w:bookmarkStart w:id="114" w:name="_Toc20048"/>
      <w:r>
        <w:rPr>
          <w:rFonts w:hint="eastAsia" w:ascii="Times New Roman" w:hAnsi="Times New Roman"/>
          <w:b/>
          <w:bCs/>
          <w:color w:val="auto"/>
          <w:sz w:val="32"/>
          <w:szCs w:val="32"/>
          <w:highlight w:val="none"/>
        </w:rPr>
        <w:t xml:space="preserve">一、总则</w:t>
      </w:r>
      <w:bookmarkEnd w:id="107"/>
      <w:r>
        <w:rPr>
          <w:highlight w:val="none"/>
        </w:rPr>
      </w:r>
      <w:bookmarkEnd w:id="108"/>
      <w:r>
        <w:rPr>
          <w:highlight w:val="none"/>
        </w:rPr>
      </w:r>
      <w:bookmarkEnd w:id="109"/>
      <w:r>
        <w:rPr>
          <w:highlight w:val="none"/>
        </w:rPr>
      </w:r>
      <w:bookmarkEnd w:id="110"/>
      <w:r>
        <w:rPr>
          <w:highlight w:val="none"/>
        </w:rPr>
      </w:r>
      <w:bookmarkEnd w:id="111"/>
      <w:r>
        <w:rPr>
          <w:highlight w:val="none"/>
        </w:rPr>
      </w:r>
      <w:bookmarkEnd w:id="112"/>
      <w:r>
        <w:rPr>
          <w:highlight w:val="none"/>
        </w:rPr>
      </w:r>
      <w:bookmarkEnd w:id="113"/>
      <w:r>
        <w:rPr>
          <w:highlight w:val="none"/>
        </w:rPr>
      </w:r>
      <w:bookmarkEnd w:id="114"/>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15" w:name="_Hlt16619475"/>
      <w:r>
        <w:rPr>
          <w:highlight w:val="none"/>
        </w:rPr>
      </w:r>
      <w:bookmarkEnd w:id="115"/>
      <w:r>
        <w:rPr>
          <w:highlight w:val="none"/>
        </w:rPr>
      </w:r>
      <w:bookmarkStart w:id="116" w:name="_Toc458694821"/>
      <w:r>
        <w:rPr>
          <w:highlight w:val="none"/>
        </w:rPr>
      </w:r>
      <w:bookmarkStart w:id="117" w:name="_Toc20823276"/>
      <w:r>
        <w:rPr>
          <w:highlight w:val="none"/>
        </w:rPr>
      </w:r>
      <w:bookmarkStart w:id="118" w:name="_Toc513029204"/>
      <w:r>
        <w:rPr>
          <w:highlight w:val="none"/>
        </w:rPr>
      </w:r>
      <w:bookmarkStart w:id="119" w:name="_Toc14209"/>
      <w:r>
        <w:rPr>
          <w:highlight w:val="none"/>
        </w:rPr>
      </w:r>
      <w:bookmarkStart w:id="120" w:name="_Toc16938520"/>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rPr>
          <w:highlight w:val="none"/>
        </w:rPr>
      </w:r>
      <w:bookmarkEnd w:id="118"/>
      <w:r>
        <w:rPr>
          <w:highlight w:val="none"/>
        </w:rPr>
      </w:r>
      <w:bookmarkEnd w:id="119"/>
      <w:r>
        <w:rPr>
          <w:highlight w:val="none"/>
        </w:rPr>
      </w:r>
      <w:bookmarkEnd w:id="120"/>
      <w:r>
        <w:rPr>
          <w:highlight w:val="none"/>
        </w:rPr>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21" w:name="_Toc513029205"/>
      <w:r>
        <w:rPr>
          <w:highlight w:val="none"/>
        </w:rPr>
      </w:r>
      <w:bookmarkStart w:id="122" w:name="_Toc16938521"/>
      <w:r>
        <w:rPr>
          <w:highlight w:val="none"/>
        </w:rPr>
      </w:r>
      <w:bookmarkStart w:id="123" w:name="_Toc20823277"/>
      <w:r>
        <w:rPr>
          <w:highlight w:val="none"/>
        </w:rPr>
      </w:r>
      <w:bookmarkStart w:id="124" w:name="_Toc14868"/>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rPr>
          <w:highlight w:val="none"/>
        </w:rPr>
      </w:r>
      <w:bookmarkEnd w:id="122"/>
      <w:r>
        <w:rPr>
          <w:highlight w:val="none"/>
        </w:rPr>
      </w:r>
      <w:bookmarkEnd w:id="123"/>
      <w:r>
        <w:rPr>
          <w:rFonts w:hint="eastAsia" w:ascii="宋体" w:hAnsi="宋体" w:eastAsia="宋体" w:cs="宋体"/>
          <w:b/>
          <w:bCs/>
          <w:color w:val="auto"/>
          <w:sz w:val="28"/>
          <w:szCs w:val="28"/>
          <w:highlight w:val="none"/>
        </w:rPr>
        <w:t xml:space="preserve">供应商</w:t>
      </w:r>
      <w:bookmarkEnd w:id="124"/>
      <w:r>
        <w:rPr>
          <w:highlight w:val="none"/>
        </w:rPr>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25" w:name="_Toc20823278"/>
      <w:r>
        <w:rPr>
          <w:highlight w:val="none"/>
        </w:rPr>
      </w:r>
      <w:bookmarkStart w:id="126" w:name="_Toc513029206"/>
      <w:r>
        <w:rPr>
          <w:highlight w:val="none"/>
        </w:rPr>
      </w:r>
      <w:bookmarkStart w:id="127" w:name="_Toc16938522"/>
      <w:r>
        <w:rPr>
          <w:highlight w:val="none"/>
        </w:rPr>
      </w:r>
      <w:bookmarkStart w:id="128" w:name="_Toc31989"/>
      <w:r>
        <w:rPr>
          <w:highlight w:val="none"/>
        </w:rPr>
      </w:r>
      <w:r>
        <w:rPr>
          <w:highlight w:val="none"/>
        </w:rP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rPr>
          <w:highlight w:val="none"/>
        </w:rPr>
      </w:r>
      <w:bookmarkEnd w:id="126"/>
      <w:r>
        <w:rPr>
          <w:highlight w:val="none"/>
        </w:rPr>
      </w:r>
      <w:bookmarkEnd w:id="127"/>
      <w:r>
        <w:rPr>
          <w:rFonts w:hint="eastAsia" w:ascii="宋体" w:hAnsi="宋体" w:eastAsia="宋体" w:cs="宋体"/>
          <w:b/>
          <w:bCs/>
          <w:color w:val="auto"/>
          <w:sz w:val="28"/>
          <w:szCs w:val="28"/>
          <w:highlight w:val="none"/>
          <w:lang w:val="en-US" w:eastAsia="zh-CN"/>
        </w:rPr>
        <w:t xml:space="preserve">及政策功能</w:t>
      </w:r>
      <w:bookmarkEnd w:id="128"/>
      <w:r>
        <w:rPr>
          <w:highlight w:val="none"/>
        </w:rPr>
      </w:r>
      <w:r>
        <w:rPr>
          <w:highlight w:val="none"/>
        </w:rP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rPr>
          <w:highlight w:val="none"/>
        </w:rP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rPr>
          <w:highlight w:val="none"/>
        </w:rP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rPr>
          <w:highlight w:val="none"/>
        </w:rPr>
      </w:r>
    </w:p>
    <w:p>
      <w:pPr>
        <w:ind w:firstLine="420"/>
        <w:pageBreakBefore w:val="0"/>
        <w:spacing w:line="24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rPr>
          <w:highlight w:val="none"/>
        </w:rPr>
      </w:r>
    </w:p>
    <w:p>
      <w:pPr>
        <w:ind w:firstLine="420"/>
        <w:pageBreakBefore w:val="0"/>
        <w:spacing w:line="24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rPr>
          <w:highlight w:val="none"/>
        </w:rP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rPr>
          <w:highlight w:val="none"/>
        </w:rP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 </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 工业和信息化部办公厅关于印发《政府采购支持绿色建材促进建筑品质提升政策项目实施指南》的通知（财办库〔2023〕52号）规定的需求标准。</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rPr>
          <w:highlight w:val="none"/>
        </w:rP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rPr>
          <w:highlight w:val="none"/>
        </w:rP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rPr>
          <w:highlight w:val="none"/>
        </w:rP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rPr>
          <w:highlight w:val="none"/>
        </w:rP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32" w:name="_Toc513029207"/>
      <w:r>
        <w:rPr>
          <w:highlight w:val="none"/>
        </w:rPr>
      </w:r>
      <w:bookmarkStart w:id="133" w:name="_Toc16938523"/>
      <w:r>
        <w:rPr>
          <w:highlight w:val="none"/>
        </w:rPr>
      </w:r>
      <w:bookmarkStart w:id="134" w:name="_Toc20823279"/>
      <w:r>
        <w:rPr>
          <w:highlight w:val="none"/>
        </w:rPr>
      </w:r>
      <w:bookmarkStart w:id="135" w:name="_Toc18163"/>
      <w:r>
        <w:rPr>
          <w:highlight w:val="none"/>
        </w:rPr>
      </w:r>
      <w:bookmarkStart w:id="136" w:name="_Toc462564067"/>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rPr>
          <w:highlight w:val="none"/>
        </w:rPr>
      </w:r>
    </w:p>
    <w:p>
      <w:pPr>
        <w:ind w:firstLine="480"/>
        <w:pageBreakBefore w:val="0"/>
        <w:spacing w:line="240" w:lineRule="auto"/>
        <w:widowControl w:val="off"/>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4.3 本项目不收取标书工本费，自行下载采购文件。</w:t>
      </w:r>
      <w:r>
        <w:rPr>
          <w:highlight w:val="none"/>
        </w:rPr>
      </w:r>
    </w:p>
    <w:p>
      <w:pPr>
        <w:ind w:firstLine="480"/>
        <w:pageBreakBefore w:val="0"/>
        <w:spacing w:line="240" w:lineRule="auto"/>
        <w:widowControl w:val="off"/>
        <w:rPr>
          <w:rFonts w:hint="eastAsia" w:ascii="宋体" w:hAnsi="宋体" w:cs="Times New Roman"/>
          <w:b/>
          <w:bCs/>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rPr>
          <w:highlight w:val="none"/>
        </w:rP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37" w:name="_Toc6595"/>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Pr>
          <w:highlight w:val="none"/>
        </w:rPr>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rPr>
          <w:highlight w:val="none"/>
        </w:rP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highlight w:val="none"/>
        </w:rPr>
      </w:r>
      <w:bookmarkStart w:id="138" w:name="_Toc20823281"/>
      <w:r>
        <w:rPr>
          <w:highlight w:val="none"/>
        </w:rPr>
      </w:r>
      <w:bookmarkStart w:id="139" w:name="_Toc16938525"/>
      <w:r>
        <w:rPr>
          <w:highlight w:val="none"/>
        </w:rPr>
      </w:r>
      <w:bookmarkStart w:id="140" w:name="_Toc513029209"/>
      <w:r>
        <w:rPr>
          <w:highlight w:val="none"/>
        </w:rPr>
      </w:r>
      <w:bookmarkStart w:id="141" w:name="_Toc120614215"/>
      <w:r>
        <w:rPr>
          <w:highlight w:val="none"/>
        </w:rPr>
      </w:r>
      <w:bookmarkStart w:id="142" w:name="_Toc6902"/>
      <w:r>
        <w:rPr>
          <w:highlight w:val="none"/>
        </w:rPr>
      </w:r>
      <w:bookmarkStart w:id="143" w:name="_Toc5354"/>
      <w:r>
        <w:rPr>
          <w:highlight w:val="none"/>
        </w:rPr>
      </w:r>
      <w:bookmarkStart w:id="144" w:name="_Toc2844"/>
      <w:r>
        <w:rPr>
          <w:highlight w:val="none"/>
        </w:rPr>
      </w:r>
      <w:bookmarkStart w:id="145" w:name="_Toc11074"/>
      <w:r>
        <w:rPr>
          <w:highlight w:val="none"/>
        </w:rPr>
      </w:r>
      <w:r>
        <w:rPr>
          <w:highlight w:val="none"/>
        </w:rP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rPr>
          <w:highlight w:val="none"/>
        </w:rPr>
      </w:r>
      <w:bookmarkEnd w:id="139"/>
      <w:r>
        <w:rPr>
          <w:highlight w:val="none"/>
        </w:rPr>
      </w:r>
      <w:bookmarkEnd w:id="140"/>
      <w:r>
        <w:rPr>
          <w:highlight w:val="none"/>
        </w:rPr>
      </w:r>
      <w:bookmarkEnd w:id="141"/>
      <w:r>
        <w:rPr>
          <w:rFonts w:hint="eastAsia" w:ascii="Times New Roman" w:hAnsi="Times New Roman"/>
          <w:b/>
          <w:bCs/>
          <w:color w:val="auto"/>
          <w:sz w:val="32"/>
          <w:szCs w:val="32"/>
          <w:highlight w:val="none"/>
        </w:rPr>
        <w:t xml:space="preserve">磋商文件</w:t>
      </w:r>
      <w:bookmarkEnd w:id="142"/>
      <w:r>
        <w:rPr>
          <w:highlight w:val="none"/>
        </w:rPr>
      </w:r>
      <w:bookmarkEnd w:id="143"/>
      <w:r>
        <w:rPr>
          <w:highlight w:val="none"/>
        </w:rPr>
      </w:r>
      <w:bookmarkEnd w:id="144"/>
      <w:r>
        <w:rPr>
          <w:highlight w:val="none"/>
        </w:rPr>
      </w:r>
      <w:bookmarkEnd w:id="145"/>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46" w:name="_Toc513029210"/>
      <w:r>
        <w:rPr>
          <w:highlight w:val="none"/>
        </w:rPr>
      </w:r>
      <w:bookmarkStart w:id="147" w:name="_Toc20823282"/>
      <w:r>
        <w:rPr>
          <w:highlight w:val="none"/>
        </w:rPr>
      </w:r>
      <w:bookmarkStart w:id="148" w:name="_Toc30434"/>
      <w:r>
        <w:rPr>
          <w:highlight w:val="none"/>
        </w:rPr>
      </w:r>
      <w:bookmarkStart w:id="149" w:name="_Toc16938526"/>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rPr>
          <w:highlight w:val="none"/>
        </w:rPr>
      </w:r>
      <w:bookmarkEnd w:id="147"/>
      <w:r>
        <w:rPr>
          <w:highlight w:val="none"/>
        </w:rPr>
      </w:r>
      <w:bookmarkEnd w:id="148"/>
      <w:r>
        <w:rPr>
          <w:highlight w:val="none"/>
        </w:rPr>
      </w:r>
      <w:bookmarkEnd w:id="149"/>
      <w:r>
        <w:rPr>
          <w:highlight w:val="none"/>
        </w:rPr>
      </w:r>
      <w:r>
        <w:rPr>
          <w:highlight w:val="none"/>
        </w:rP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合同条款</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rPr>
          <w:highlight w:val="none"/>
        </w:rP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highlight w:val="none"/>
        </w:rPr>
      </w:r>
      <w:bookmarkStart w:id="150" w:name="_Toc3102"/>
      <w:r>
        <w:rPr>
          <w:rFonts w:hint="eastAsia" w:ascii="宋体" w:hAnsi="宋体" w:eastAsia="宋体" w:cs="宋体"/>
          <w:color w:val="auto"/>
          <w:sz w:val="24"/>
          <w:szCs w:val="24"/>
          <w:highlight w:val="none"/>
        </w:rPr>
        <w:t xml:space="preserve">附件</w:t>
      </w:r>
      <w:bookmarkEnd w:id="150"/>
      <w:r>
        <w:rPr>
          <w:highlight w:val="none"/>
        </w:rPr>
      </w:r>
      <w:r>
        <w:rPr>
          <w:highlight w:val="none"/>
        </w:rP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513029211"/>
      <w:r>
        <w:rPr>
          <w:highlight w:val="none"/>
        </w:rPr>
      </w:r>
      <w:bookmarkStart w:id="152" w:name="_Toc20823283"/>
      <w:r>
        <w:rPr>
          <w:highlight w:val="none"/>
        </w:rPr>
      </w:r>
      <w:bookmarkStart w:id="153" w:name="_Toc16938527"/>
      <w:r>
        <w:rPr>
          <w:highlight w:val="none"/>
        </w:rPr>
      </w:r>
      <w:bookmarkStart w:id="154" w:name="_Toc462564070"/>
      <w:r>
        <w:rPr>
          <w:highlight w:val="none"/>
        </w:rPr>
      </w:r>
      <w:bookmarkEnd w:id="151"/>
      <w:r>
        <w:rPr>
          <w:highlight w:val="none"/>
        </w:rPr>
      </w:r>
      <w:bookmarkEnd w:id="152"/>
      <w:r>
        <w:rPr>
          <w:highlight w:val="none"/>
        </w:rPr>
      </w:r>
      <w:bookmarkEnd w:id="153"/>
      <w:r>
        <w:rPr>
          <w:highlight w:val="none"/>
        </w:rPr>
      </w:r>
      <w:bookmarkEnd w:id="154"/>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55" w:name="_Toc513029213"/>
      <w:r>
        <w:rPr>
          <w:highlight w:val="none"/>
        </w:rPr>
      </w:r>
      <w:bookmarkStart w:id="156" w:name="_Toc120614216"/>
      <w:r>
        <w:rPr>
          <w:highlight w:val="none"/>
        </w:rPr>
      </w:r>
      <w:bookmarkStart w:id="157" w:name="_Toc462564072"/>
      <w:r>
        <w:rPr>
          <w:highlight w:val="none"/>
        </w:rPr>
      </w:r>
      <w:bookmarkStart w:id="158" w:name="_Toc1582"/>
      <w:r>
        <w:rPr>
          <w:highlight w:val="none"/>
        </w:rPr>
      </w:r>
      <w:bookmarkStart w:id="159" w:name="_Toc139"/>
      <w:r>
        <w:rPr>
          <w:highlight w:val="none"/>
        </w:rPr>
      </w:r>
      <w:bookmarkStart w:id="160" w:name="_Toc17904"/>
      <w:r>
        <w:rPr>
          <w:highlight w:val="none"/>
        </w:rPr>
      </w:r>
      <w:bookmarkStart w:id="161" w:name="_Toc16938529"/>
      <w:r>
        <w:rPr>
          <w:highlight w:val="none"/>
        </w:rPr>
      </w:r>
      <w:bookmarkStart w:id="162" w:name="_Toc20823285"/>
      <w:r>
        <w:rPr>
          <w:highlight w:val="none"/>
        </w:rPr>
      </w:r>
      <w:bookmarkStart w:id="163" w:name="_Toc30442"/>
      <w:r>
        <w:rPr>
          <w:highlight w:val="none"/>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7.磋商文件的询问</w:t>
      </w:r>
      <w:r>
        <w:rPr>
          <w:highlight w:val="none"/>
        </w:rPr>
      </w:r>
    </w:p>
    <w:p>
      <w:pPr>
        <w:numPr>
          <w:ilvl w:val="0"/>
          <w:numId w:val="0"/>
        </w:num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val="en-US" w:eastAsia="zh-CN"/>
        </w:rPr>
      </w:r>
      <w:r>
        <w:rPr>
          <w:highlight w:val="none"/>
        </w:rP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rPr>
        <w:t xml:space="preserve">磋商文件的澄清和修改</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发布书面更正公告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rPr>
          <w:highlight w:val="none"/>
        </w:rPr>
      </w:r>
    </w:p>
    <w:p>
      <w:pPr>
        <w:ind w:firstLine="480"/>
        <w:jc w:val="left"/>
        <w:keepLines/>
        <w:keepNext/>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如澄清或修改公告有重新发布</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bookmarkEnd w:id="163"/>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64" w:name="_Toc513029214"/>
      <w:r>
        <w:rPr>
          <w:highlight w:val="none"/>
        </w:rPr>
      </w:r>
      <w:bookmarkStart w:id="165" w:name="_Toc20823286"/>
      <w:r>
        <w:rPr>
          <w:highlight w:val="none"/>
        </w:rPr>
      </w:r>
      <w:bookmarkStart w:id="166" w:name="_Toc462564073"/>
      <w:r>
        <w:rPr>
          <w:highlight w:val="none"/>
        </w:rPr>
      </w:r>
      <w:bookmarkStart w:id="167" w:name="_Toc16938530"/>
      <w:r>
        <w:rPr>
          <w:highlight w:val="none"/>
        </w:rPr>
      </w:r>
      <w:bookmarkStart w:id="168" w:name="_Toc985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rPr>
          <w:highlight w:val="none"/>
        </w:rPr>
      </w:r>
      <w:bookmarkEnd w:id="165"/>
      <w:r>
        <w:rPr>
          <w:highlight w:val="none"/>
        </w:rPr>
      </w:r>
      <w:bookmarkEnd w:id="166"/>
      <w:r>
        <w:rPr>
          <w:highlight w:val="none"/>
        </w:rPr>
      </w:r>
      <w:bookmarkEnd w:id="167"/>
      <w:r>
        <w:rPr>
          <w:highlight w:val="none"/>
        </w:rPr>
      </w:r>
      <w:bookmarkEnd w:id="168"/>
      <w:r>
        <w:rPr>
          <w:highlight w:val="none"/>
        </w:rPr>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69" w:name="_Toc20823287"/>
      <w:r>
        <w:rPr>
          <w:highlight w:val="none"/>
        </w:rPr>
      </w:r>
      <w:bookmarkStart w:id="170" w:name="_Toc462564074"/>
      <w:r>
        <w:rPr>
          <w:highlight w:val="none"/>
        </w:rPr>
      </w:r>
      <w:bookmarkStart w:id="171" w:name="_Toc12994"/>
      <w:r>
        <w:rPr>
          <w:highlight w:val="none"/>
        </w:rPr>
      </w:r>
      <w:bookmarkStart w:id="172" w:name="_Toc513029215"/>
      <w:r>
        <w:rPr>
          <w:highlight w:val="none"/>
        </w:rPr>
      </w:r>
      <w:bookmarkStart w:id="173" w:name="_Toc16938531"/>
      <w:r>
        <w:rPr>
          <w:highlight w:val="none"/>
        </w:rPr>
      </w:r>
      <w:r>
        <w:rPr>
          <w:highlight w:val="none"/>
        </w:rP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eastAsia="宋体" w:cs="Times New Roman"/>
          <w:b/>
          <w:bCs w:val="0"/>
          <w:color w:val="auto"/>
          <w:sz w:val="24"/>
          <w:szCs w:val="24"/>
          <w:highlight w:val="none"/>
          <w:u w:val="single"/>
        </w:rPr>
        <w:t xml:space="preserve">商务响应承诺</w:t>
      </w:r>
      <w:r>
        <w:rPr>
          <w:rFonts w:hint="eastAsia" w:ascii="宋体" w:hAnsi="宋体" w:eastAsia="宋体" w:cs="Times New Roman"/>
          <w:b/>
          <w:bCs w:val="0"/>
          <w:color w:val="auto"/>
          <w:sz w:val="24"/>
          <w:szCs w:val="24"/>
          <w:highlight w:val="none"/>
          <w:u w:val="single"/>
          <w:lang w:val="en-US" w:eastAsia="zh-CN"/>
        </w:rPr>
        <w:t xml:space="preserve">函</w:t>
      </w:r>
      <w:r>
        <w:rPr>
          <w:rFonts w:hint="eastAsia" w:ascii="宋体" w:hAnsi="宋体"/>
          <w:b/>
          <w:bCs/>
          <w:color w:val="auto"/>
          <w:sz w:val="24"/>
          <w:szCs w:val="21"/>
          <w:highlight w:val="none"/>
          <w:u w:val="single"/>
        </w:rPr>
        <w:t xml:space="preserve">、其他证明文件、磋商响应函</w:t>
      </w:r>
      <w:r>
        <w:rPr>
          <w:rFonts w:hint="eastAsia" w:ascii="宋体" w:hAnsi="宋体"/>
          <w:color w:val="auto"/>
          <w:sz w:val="24"/>
          <w:szCs w:val="21"/>
          <w:highlight w:val="none"/>
        </w:rPr>
        <w:t xml:space="preserve">等部分。</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74" w:name="_Hlt26668975"/>
      <w:r>
        <w:rPr>
          <w:highlight w:val="none"/>
        </w:rPr>
      </w:r>
      <w:bookmarkEnd w:id="174"/>
      <w:r>
        <w:rPr>
          <w:highlight w:val="none"/>
        </w:rPr>
      </w:r>
      <w:bookmarkStart w:id="175" w:name="_Hlt26954838"/>
      <w:r>
        <w:rPr>
          <w:highlight w:val="none"/>
        </w:rPr>
      </w:r>
      <w:bookmarkEnd w:id="175"/>
      <w:r>
        <w:rPr>
          <w:highlight w:val="none"/>
        </w:rPr>
      </w:r>
      <w:bookmarkStart w:id="176" w:name="_Hlt26670360"/>
      <w:r>
        <w:rPr>
          <w:highlight w:val="none"/>
        </w:rPr>
      </w:r>
      <w:bookmarkEnd w:id="176"/>
      <w:r>
        <w:rPr>
          <w:highlight w:val="none"/>
        </w:rPr>
      </w:r>
      <w:bookmarkStart w:id="177" w:name="_Toc513029219"/>
      <w:r>
        <w:rPr>
          <w:highlight w:val="none"/>
        </w:rPr>
      </w:r>
      <w:bookmarkStart w:id="178" w:name="_Toc14577357"/>
      <w:r>
        <w:rPr>
          <w:highlight w:val="none"/>
        </w:rPr>
      </w:r>
      <w:bookmarkStart w:id="179" w:name="_Toc16278"/>
      <w:r>
        <w:rPr>
          <w:highlight w:val="none"/>
        </w:rPr>
      </w:r>
      <w:bookmarkStart w:id="180" w:name="_Toc49090509"/>
      <w:r>
        <w:rPr>
          <w:highlight w:val="none"/>
        </w:rPr>
      </w:r>
      <w:bookmarkStart w:id="181" w:name="_Toc49090507"/>
      <w:r>
        <w:rPr>
          <w:highlight w:val="none"/>
        </w:rPr>
      </w:r>
      <w:bookmarkStart w:id="182" w:name="_Toc14577354"/>
      <w:r>
        <w:rPr>
          <w:highlight w:val="none"/>
        </w:rPr>
      </w:r>
      <w:bookmarkStart w:id="183" w:name="_Toc513029216"/>
      <w:r>
        <w:rPr>
          <w:highlight w:val="none"/>
        </w:rPr>
      </w:r>
      <w:bookmarkStart w:id="184" w:name="_Toc49090508"/>
      <w:r>
        <w:rPr>
          <w:highlight w:val="none"/>
        </w:rPr>
      </w:r>
      <w:bookmarkStart w:id="185" w:name="_Toc14577355"/>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bookmarkEnd w:id="182"/>
      <w:r>
        <w:rPr>
          <w:highlight w:val="none"/>
        </w:rPr>
      </w:r>
      <w:bookmarkEnd w:id="183"/>
      <w:r>
        <w:rPr>
          <w:highlight w:val="none"/>
        </w:rPr>
      </w:r>
      <w:r>
        <w:rPr>
          <w:highlight w:val="none"/>
        </w:rP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rPr>
          <w:highlight w:val="none"/>
        </w:rPr>
      </w:r>
      <w:bookmarkEnd w:id="185"/>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86" w:name="_Toc16486"/>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670486"/>
      <w:r>
        <w:rPr>
          <w:highlight w:val="none"/>
        </w:rPr>
      </w:r>
      <w:bookmarkEnd w:id="187"/>
      <w:r>
        <w:rPr>
          <w:highlight w:val="none"/>
        </w:rPr>
      </w:r>
      <w:bookmarkStart w:id="188" w:name="_Hlt26670482"/>
      <w:r>
        <w:rPr>
          <w:highlight w:val="none"/>
        </w:rPr>
      </w:r>
      <w:bookmarkEnd w:id="188"/>
      <w:r>
        <w:rPr>
          <w:highlight w:val="none"/>
        </w:rPr>
      </w:r>
      <w:bookmarkStart w:id="189" w:name="_Hlt26954731"/>
      <w:r>
        <w:rPr>
          <w:highlight w:val="none"/>
        </w:rPr>
      </w:r>
      <w:bookmarkEnd w:id="189"/>
      <w:r>
        <w:rPr>
          <w:highlight w:val="none"/>
        </w:rPr>
      </w:r>
      <w:bookmarkStart w:id="190" w:name="_Hlt26954848"/>
      <w:r>
        <w:rPr>
          <w:highlight w:val="none"/>
        </w:rPr>
      </w:r>
      <w:bookmarkEnd w:id="190"/>
      <w:r>
        <w:rPr>
          <w:highlight w:val="none"/>
        </w:rPr>
      </w:r>
      <w:bookmarkStart w:id="191" w:name="_Hlt26954846"/>
      <w:r>
        <w:rPr>
          <w:highlight w:val="none"/>
        </w:rPr>
      </w:r>
      <w:bookmarkEnd w:id="191"/>
      <w:r>
        <w:rPr>
          <w:highlight w:val="none"/>
        </w:rPr>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rPr>
          <w:highlight w:val="none"/>
        </w:rPr>
      </w:r>
    </w:p>
    <w:p>
      <w:pPr>
        <w:ind w:firstLine="281"/>
        <w:keepLines/>
        <w:keepNext/>
        <w:pageBreakBefore w:val="0"/>
        <w:spacing w:line="240" w:lineRule="auto"/>
        <w:widowControl w:val="off"/>
        <w:rPr>
          <w:rFonts w:hint="eastAsia" w:ascii="宋体" w:hAnsi="宋体" w:cs="宋体"/>
          <w:b/>
          <w:bCs/>
          <w:color w:val="auto"/>
          <w:sz w:val="28"/>
          <w:szCs w:val="28"/>
          <w:highlight w:val="none"/>
        </w:rPr>
        <w:outlineLvl w:val="9"/>
      </w:pPr>
      <w:r>
        <w:rPr>
          <w:highlight w:val="none"/>
        </w:rPr>
      </w:r>
      <w:bookmarkStart w:id="192" w:name="_Toc21376"/>
      <w:r>
        <w:rPr>
          <w:highlight w:val="none"/>
        </w:rPr>
      </w:r>
      <w:bookmarkEnd w:id="192"/>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技术部分正负偏离表、</w:t>
      </w:r>
      <w:r>
        <w:rPr>
          <w:rFonts w:hint="eastAsia" w:ascii="宋体" w:hAnsi="宋体" w:cs="宋体"/>
          <w:b/>
          <w:bCs/>
          <w:color w:val="auto"/>
          <w:sz w:val="28"/>
          <w:szCs w:val="28"/>
          <w:highlight w:val="none"/>
          <w:lang w:eastAsia="zh-CN"/>
        </w:rPr>
        <w:t xml:space="preserve">商务响应承诺函</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供应商需对磋商文件中的技术要求逐项作出响应或偏离，并说明原因。</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的要求。</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rPr>
          <w:highlight w:val="none"/>
        </w:rP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rPr>
        <w:outlineLvl w:val="9"/>
      </w:pPr>
      <w:r>
        <w:rPr>
          <w:rFonts w:hint="eastAsia" w:ascii="宋体" w:hAnsi="宋体" w:cs="Times New Roman"/>
          <w:color w:val="auto"/>
          <w:sz w:val="24"/>
          <w:szCs w:val="24"/>
          <w:highlight w:val="none"/>
          <w:lang w:val="en-US" w:eastAsia="zh-CN"/>
        </w:rPr>
        <w:t xml:space="preserve">13.6 </w:t>
      </w:r>
      <w:r>
        <w:rPr>
          <w:rFonts w:hint="eastAsia" w:ascii="宋体" w:hAnsi="宋体" w:cs="Times New Roman"/>
          <w:b/>
          <w:bCs/>
          <w:color w:val="auto"/>
          <w:sz w:val="24"/>
          <w:szCs w:val="24"/>
          <w:highlight w:val="none"/>
          <w:u w:val="single"/>
          <w:lang w:val="en-US" w:eastAsia="zh-CN"/>
        </w:rPr>
        <w:t xml:space="preserve">供应商应全部满足磋商文件《第三章：采购需求》和第四章合同条款中所有的商务要求，并出具相应的商务要求响应承诺书。</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93" w:name="_Toc30528"/>
      <w:r>
        <w:rPr>
          <w:highlight w:val="none"/>
        </w:rPr>
      </w:r>
      <w:r>
        <w:rPr>
          <w:highlight w:val="none"/>
        </w:rP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Pr>
          <w:highlight w:val="none"/>
        </w:rPr>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94" w:name="_Toc23496"/>
      <w:r>
        <w:rPr>
          <w:highlight w:val="none"/>
        </w:rPr>
      </w:r>
      <w:bookmarkStart w:id="195" w:name="_Toc14577359"/>
      <w:r>
        <w:rPr>
          <w:highlight w:val="none"/>
        </w:rPr>
      </w:r>
      <w:bookmarkStart w:id="196" w:name="_Toc49090510"/>
      <w:r>
        <w:rPr>
          <w:highlight w:val="none"/>
        </w:rPr>
      </w:r>
      <w:r>
        <w:rPr>
          <w:highlight w:val="none"/>
        </w:rP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Pr>
          <w:highlight w:val="none"/>
        </w:rPr>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95"/>
      <w:r>
        <w:rPr>
          <w:highlight w:val="none"/>
        </w:rPr>
      </w:r>
      <w:bookmarkEnd w:id="196"/>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197" w:name="_Toc14577360"/>
      <w:r>
        <w:rPr>
          <w:highlight w:val="none"/>
        </w:rPr>
      </w:r>
      <w:bookmarkStart w:id="198" w:name="_Toc49090511"/>
      <w:r>
        <w:rPr>
          <w:highlight w:val="none"/>
        </w:rPr>
      </w:r>
      <w:bookmarkStart w:id="199" w:name="_Toc18949"/>
      <w:r>
        <w:rPr>
          <w:highlight w:val="none"/>
        </w:rPr>
      </w:r>
      <w:r>
        <w:rPr>
          <w:highlight w:val="none"/>
        </w:rP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rPr>
          <w:highlight w:val="none"/>
        </w:rPr>
      </w:r>
      <w:bookmarkEnd w:id="198"/>
      <w:r>
        <w:rPr>
          <w:highlight w:val="none"/>
        </w:rPr>
      </w:r>
      <w:bookmarkEnd w:id="199"/>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rPr>
          <w:highlight w:val="none"/>
        </w:rPr>
      </w:r>
    </w:p>
    <w:p>
      <w:pPr>
        <w:ind w:firstLine="281"/>
        <w:keepLines/>
        <w:keepNext/>
        <w:pageBreakBefore w:val="0"/>
        <w:spacing w:line="240" w:lineRule="auto"/>
        <w:widowControl w:val="off"/>
        <w:rPr>
          <w:rFonts w:hint="eastAsia" w:ascii="宋体" w:hAnsi="宋体" w:cs="宋体"/>
          <w:b/>
          <w:bCs/>
          <w:color w:val="auto"/>
          <w:sz w:val="28"/>
          <w:szCs w:val="28"/>
          <w:highlight w:val="none"/>
        </w:rPr>
        <w:outlineLvl w:val="9"/>
      </w:pPr>
      <w:r>
        <w:rPr>
          <w:highlight w:val="none"/>
        </w:rPr>
      </w:r>
      <w:bookmarkStart w:id="200" w:name="_Toc19007"/>
      <w:r>
        <w:rPr>
          <w:highlight w:val="none"/>
        </w:rPr>
      </w:r>
      <w:r>
        <w:rPr>
          <w:highlight w:val="none"/>
        </w:rP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highlight w:val="none"/>
        </w:rPr>
      </w:r>
      <w:bookmarkStart w:id="201" w:name="_Hlt26954739"/>
      <w:r>
        <w:rPr>
          <w:highlight w:val="none"/>
        </w:rPr>
      </w:r>
      <w:bookmarkEnd w:id="201"/>
      <w:r>
        <w:rPr>
          <w:highlight w:val="none"/>
        </w:rPr>
      </w:r>
      <w:bookmarkStart w:id="202" w:name="_Hlt26954852"/>
      <w:r>
        <w:rPr>
          <w:highlight w:val="none"/>
        </w:rPr>
      </w:r>
      <w:bookmarkEnd w:id="202"/>
      <w:r>
        <w:rPr>
          <w:highlight w:val="none"/>
        </w:rPr>
      </w:r>
      <w:bookmarkStart w:id="203" w:name="_Toc12140"/>
      <w:r>
        <w:rPr>
          <w:highlight w:val="none"/>
        </w:rPr>
      </w:r>
      <w:bookmarkStart w:id="204" w:name="_Toc27479"/>
      <w:r>
        <w:rPr>
          <w:highlight w:val="none"/>
        </w:rPr>
      </w:r>
      <w:bookmarkStart w:id="205" w:name="_Toc513029224"/>
      <w:r>
        <w:rPr>
          <w:highlight w:val="none"/>
        </w:rPr>
      </w:r>
      <w:bookmarkStart w:id="206" w:name="_Toc120614217"/>
      <w:r>
        <w:rPr>
          <w:highlight w:val="none"/>
        </w:rPr>
      </w:r>
      <w:bookmarkStart w:id="207" w:name="_Toc635"/>
      <w:r>
        <w:rPr>
          <w:highlight w:val="none"/>
        </w:rPr>
      </w:r>
      <w:bookmarkStart w:id="208" w:name="_Toc16938540"/>
      <w:r>
        <w:rPr>
          <w:highlight w:val="none"/>
        </w:rPr>
      </w:r>
      <w:bookmarkStart w:id="209" w:name="_Toc19822"/>
      <w:r>
        <w:rPr>
          <w:highlight w:val="none"/>
        </w:rPr>
      </w:r>
      <w:bookmarkStart w:id="210" w:name="_Toc20823296"/>
      <w:r>
        <w:rPr>
          <w:highlight w:val="none"/>
        </w:rPr>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11" w:name="_Toc513029225"/>
      <w:r>
        <w:rPr>
          <w:highlight w:val="none"/>
        </w:rPr>
      </w:r>
      <w:bookmarkStart w:id="212" w:name="_Toc462564084"/>
      <w:r>
        <w:rPr>
          <w:highlight w:val="none"/>
        </w:rPr>
      </w:r>
      <w:bookmarkStart w:id="213" w:name="_Toc20823297"/>
      <w:r>
        <w:rPr>
          <w:highlight w:val="none"/>
        </w:rPr>
      </w:r>
      <w:bookmarkStart w:id="214" w:name="_Toc16938541"/>
      <w:r>
        <w:rPr>
          <w:highlight w:val="none"/>
        </w:rPr>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rPr>
          <w:highlight w:val="none"/>
        </w:rPr>
      </w:r>
      <w:bookmarkEnd w:id="212"/>
      <w:r>
        <w:rPr>
          <w:highlight w:val="none"/>
        </w:rPr>
      </w:r>
      <w:bookmarkEnd w:id="213"/>
      <w:r>
        <w:rPr>
          <w:highlight w:val="none"/>
        </w:rPr>
      </w:r>
      <w:bookmarkEnd w:id="214"/>
      <w:r>
        <w:rPr>
          <w:rFonts w:hint="eastAsia" w:ascii="宋体" w:hAnsi="宋体" w:eastAsia="宋体" w:cs="宋体"/>
          <w:b/>
          <w:bCs/>
          <w:color w:val="auto"/>
          <w:sz w:val="28"/>
          <w:szCs w:val="28"/>
          <w:highlight w:val="none"/>
        </w:rPr>
        <w:t xml:space="preserve">响应文件的递交</w:t>
      </w:r>
      <w:bookmarkEnd w:id="215"/>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16938542"/>
      <w:r>
        <w:rPr>
          <w:highlight w:val="none"/>
        </w:rPr>
      </w:r>
      <w:bookmarkStart w:id="217" w:name="_Toc513029226"/>
      <w:r>
        <w:rPr>
          <w:highlight w:val="none"/>
        </w:rPr>
      </w:r>
      <w:bookmarkStart w:id="218" w:name="_Toc20823298"/>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19" w:name="_Toc19179"/>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rPr>
          <w:highlight w:val="none"/>
        </w:rPr>
      </w:r>
      <w:bookmarkEnd w:id="217"/>
      <w:r>
        <w:rPr>
          <w:highlight w:val="none"/>
        </w:rPr>
      </w:r>
      <w:bookmarkEnd w:id="218"/>
      <w:r>
        <w:rPr>
          <w:highlight w:val="none"/>
        </w:rPr>
      </w:r>
      <w:bookmarkEnd w:id="219"/>
      <w:r>
        <w:rPr>
          <w:highlight w:val="none"/>
        </w:rPr>
      </w:r>
      <w:r>
        <w:rPr>
          <w:highlight w:val="none"/>
        </w:rP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网络环境、网络带宽等风险因素，如因供应商自身原因造成的电子响应文件上传不成功的按照无效响应处理。</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20" w:name="_Toc16938543"/>
      <w:r>
        <w:rPr>
          <w:highlight w:val="none"/>
        </w:rPr>
      </w:r>
      <w:bookmarkStart w:id="221" w:name="_Toc513029227"/>
      <w:r>
        <w:rPr>
          <w:highlight w:val="none"/>
        </w:rPr>
      </w:r>
      <w:bookmarkStart w:id="222" w:name="_Toc20823299"/>
      <w:r>
        <w:rPr>
          <w:highlight w:val="none"/>
        </w:rPr>
      </w:r>
      <w:bookmarkStart w:id="223" w:name="_Toc1283"/>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rPr>
          <w:highlight w:val="none"/>
        </w:rPr>
      </w:r>
      <w:bookmarkEnd w:id="221"/>
      <w:r>
        <w:rPr>
          <w:highlight w:val="none"/>
        </w:rPr>
      </w:r>
      <w:bookmarkEnd w:id="222"/>
      <w:r>
        <w:rPr>
          <w:rFonts w:hint="eastAsia" w:ascii="宋体" w:hAnsi="宋体" w:eastAsia="宋体" w:cs="宋体"/>
          <w:b/>
          <w:bCs/>
          <w:color w:val="auto"/>
          <w:sz w:val="28"/>
          <w:szCs w:val="28"/>
          <w:highlight w:val="none"/>
        </w:rPr>
        <w:t xml:space="preserve">的拒收</w:t>
      </w:r>
      <w:bookmarkEnd w:id="223"/>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24" w:name="_Toc16938544"/>
      <w:r>
        <w:rPr>
          <w:highlight w:val="none"/>
        </w:rPr>
      </w:r>
      <w:bookmarkStart w:id="225" w:name="_Toc513029228"/>
      <w:r>
        <w:rPr>
          <w:highlight w:val="none"/>
        </w:rPr>
      </w:r>
      <w:bookmarkStart w:id="226" w:name="_Toc20823300"/>
      <w:r>
        <w:rPr>
          <w:highlight w:val="none"/>
        </w:rPr>
      </w:r>
      <w:bookmarkStart w:id="227" w:name="_Toc32258"/>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rPr>
          <w:highlight w:val="none"/>
        </w:rPr>
      </w:r>
      <w:bookmarkEnd w:id="225"/>
      <w:r>
        <w:rPr>
          <w:highlight w:val="none"/>
        </w:rPr>
      </w:r>
      <w:bookmarkEnd w:id="226"/>
      <w:r>
        <w:rPr>
          <w:highlight w:val="none"/>
        </w:rPr>
      </w:r>
      <w:bookmarkEnd w:id="227"/>
      <w:r>
        <w:rPr>
          <w:highlight w:val="none"/>
        </w:rPr>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highlight w:val="none"/>
        </w:rPr>
      </w:r>
      <w:bookmarkStart w:id="228" w:name="_Toc120614218"/>
      <w:r>
        <w:rPr>
          <w:highlight w:val="none"/>
        </w:rPr>
      </w:r>
      <w:bookmarkStart w:id="229" w:name="_Toc16938545"/>
      <w:r>
        <w:rPr>
          <w:highlight w:val="none"/>
        </w:rPr>
      </w:r>
      <w:bookmarkStart w:id="230" w:name="_Toc1427"/>
      <w:r>
        <w:rPr>
          <w:highlight w:val="none"/>
        </w:rPr>
      </w:r>
      <w:bookmarkStart w:id="231" w:name="_Toc513029229"/>
      <w:r>
        <w:rPr>
          <w:highlight w:val="none"/>
        </w:rPr>
      </w:r>
      <w:bookmarkStart w:id="232" w:name="_Toc15535"/>
      <w:r>
        <w:rPr>
          <w:highlight w:val="none"/>
        </w:rPr>
      </w:r>
      <w:bookmarkStart w:id="233" w:name="_Toc20823301"/>
      <w:r>
        <w:rPr>
          <w:highlight w:val="none"/>
        </w:rPr>
      </w:r>
      <w:bookmarkStart w:id="234" w:name="_Toc949"/>
      <w:r>
        <w:rPr>
          <w:highlight w:val="none"/>
        </w:rPr>
      </w:r>
      <w:bookmarkStart w:id="235" w:name="_Toc18977"/>
      <w:r>
        <w:rPr>
          <w:highlight w:val="none"/>
        </w:rPr>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rPr>
          <w:highlight w:val="none"/>
        </w:rPr>
      </w:r>
      <w:bookmarkEnd w:id="229"/>
      <w:r>
        <w:rPr>
          <w:highlight w:val="none"/>
        </w:rPr>
      </w:r>
      <w:bookmarkEnd w:id="230"/>
      <w:r>
        <w:rPr>
          <w:highlight w:val="none"/>
        </w:rPr>
      </w:r>
      <w:bookmarkEnd w:id="231"/>
      <w:r>
        <w:rPr>
          <w:highlight w:val="none"/>
        </w:rPr>
      </w:r>
      <w:bookmarkEnd w:id="232"/>
      <w:r>
        <w:rPr>
          <w:highlight w:val="none"/>
        </w:rPr>
      </w:r>
      <w:bookmarkEnd w:id="233"/>
      <w:r>
        <w:rPr>
          <w:highlight w:val="none"/>
        </w:rPr>
      </w:r>
      <w:bookmarkEnd w:id="234"/>
      <w:r>
        <w:rPr>
          <w:highlight w:val="none"/>
        </w:rPr>
      </w:r>
      <w:bookmarkEnd w:id="235"/>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36" w:name="_Toc16938546"/>
      <w:r>
        <w:rPr>
          <w:highlight w:val="none"/>
        </w:rPr>
      </w:r>
      <w:bookmarkStart w:id="237" w:name="_Toc513029230"/>
      <w:r>
        <w:rPr>
          <w:highlight w:val="none"/>
        </w:rPr>
      </w:r>
      <w:bookmarkStart w:id="238" w:name="_Toc20823302"/>
      <w:r>
        <w:rPr>
          <w:highlight w:val="none"/>
        </w:rPr>
      </w:r>
      <w:bookmarkStart w:id="239" w:name="_Toc31134"/>
      <w:r>
        <w:rPr>
          <w:rFonts w:hint="eastAsia" w:ascii="宋体" w:hAnsi="宋体" w:cs="宋体"/>
          <w:b/>
          <w:bCs/>
          <w:color w:val="auto"/>
          <w:sz w:val="28"/>
          <w:szCs w:val="28"/>
          <w:highlight w:val="none"/>
          <w:lang w:eastAsia="zh-CN"/>
        </w:rPr>
        <w:t xml:space="preserve">22.</w:t>
      </w:r>
      <w:bookmarkEnd w:id="236"/>
      <w:r>
        <w:rPr>
          <w:highlight w:val="none"/>
        </w:rPr>
      </w:r>
      <w:bookmarkEnd w:id="237"/>
      <w:r>
        <w:rPr>
          <w:highlight w:val="none"/>
        </w:rPr>
      </w:r>
      <w:bookmarkEnd w:id="238"/>
      <w:r>
        <w:rPr>
          <w:rFonts w:hint="eastAsia" w:ascii="宋体" w:hAnsi="宋体" w:eastAsia="宋体" w:cs="宋体"/>
          <w:b/>
          <w:bCs/>
          <w:color w:val="auto"/>
          <w:sz w:val="28"/>
          <w:szCs w:val="28"/>
          <w:highlight w:val="none"/>
        </w:rPr>
        <w:t xml:space="preserve">响应文件解密</w:t>
      </w:r>
      <w:bookmarkEnd w:id="239"/>
      <w:r>
        <w:rPr>
          <w:highlight w:val="none"/>
        </w:rPr>
      </w:r>
      <w:r>
        <w:rPr>
          <w:highlight w:val="none"/>
        </w:rP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40" w:name="_Toc17416"/>
      <w:r>
        <w:rPr>
          <w:highlight w:val="none"/>
        </w:rPr>
      </w:r>
      <w:bookmarkStart w:id="241" w:name="_Toc20823303"/>
      <w:r>
        <w:rPr>
          <w:highlight w:val="none"/>
        </w:rPr>
      </w:r>
      <w:bookmarkStart w:id="242" w:name="_Toc16938547"/>
      <w:r>
        <w:rPr>
          <w:highlight w:val="none"/>
        </w:rPr>
      </w:r>
      <w:bookmarkStart w:id="243" w:name="_Toc513029231"/>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Pr>
          <w:highlight w:val="none"/>
        </w:rPr>
      </w:r>
      <w:r>
        <w:rPr>
          <w:highlight w:val="none"/>
        </w:rP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rPr>
          <w:highlight w:val="none"/>
        </w:rP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rPr>
          <w:highlight w:val="none"/>
        </w:rPr>
      </w:r>
    </w:p>
    <w:p>
      <w:pPr>
        <w:ind w:firstLine="481"/>
        <w:pageBreakBefore w:val="0"/>
        <w:spacing w:line="240" w:lineRule="auto"/>
        <w:widowControl w:val="off"/>
        <w:rPr>
          <w:rFonts w:hint="default"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23.3</w:t>
      </w:r>
      <w:r>
        <w:rPr>
          <w:rFonts w:hint="eastAsia" w:ascii="宋体" w:hAnsi="宋体" w:cs="Times New Roman"/>
          <w:color w:val="auto"/>
          <w:sz w:val="24"/>
          <w:szCs w:val="24"/>
          <w:highlight w:val="none"/>
        </w:rPr>
        <w:t xml:space="preserve">超过公开招标限额标准的项目，磋商小组应当由5人以上单数组成。</w:t>
      </w:r>
      <w:r>
        <w:rPr>
          <w:highlight w:val="none"/>
        </w:rPr>
      </w:r>
    </w:p>
    <w:p>
      <w:pPr>
        <w:ind w:firstLine="481"/>
        <w:pageBreakBefore w:val="0"/>
        <w:spacing w:line="240" w:lineRule="auto"/>
        <w:widowControl w:val="off"/>
        <w:rPr>
          <w:rFonts w:hint="eastAsia" w:ascii="宋体" w:hAnsi="宋体" w:cs="Times New Roman"/>
          <w:color w:val="auto"/>
          <w:sz w:val="24"/>
          <w:szCs w:val="24"/>
          <w:highlight w:val="none"/>
        </w:rPr>
        <w:outlineLvl w:val="9"/>
      </w:pPr>
      <w:r>
        <w:rPr>
          <w:highlight w:val="none"/>
        </w:r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highlight w:val="none"/>
        </w:rP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rPr>
        <w:outlineLvl w:val="9"/>
      </w:pPr>
      <w:r>
        <w:rPr>
          <w:rFonts w:hint="default" w:ascii="宋体" w:hAnsi="宋体" w:eastAsia="宋体" w:cs="宋体"/>
          <w:b/>
          <w:bCs/>
          <w:color w:val="auto"/>
          <w:sz w:val="28"/>
          <w:szCs w:val="28"/>
          <w:highlight w:val="none"/>
          <w:lang w:val="en-US" w:eastAsia="zh-CN"/>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rPr>
          <w:highlight w:val="none"/>
        </w:rPr>
      </w:r>
      <w:bookmarkEnd w:id="241"/>
      <w:r>
        <w:rPr>
          <w:highlight w:val="none"/>
        </w:rPr>
      </w:r>
      <w:bookmarkEnd w:id="242"/>
      <w:r>
        <w:rPr>
          <w:highlight w:val="none"/>
        </w:rPr>
      </w:r>
      <w:bookmarkEnd w:id="243"/>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w:t>
      </w:r>
      <w:r>
        <w:rPr>
          <w:rFonts w:hint="eastAsia" w:ascii="宋体" w:hAnsi="宋体"/>
          <w:color w:val="auto"/>
          <w:sz w:val="24"/>
          <w:szCs w:val="24"/>
          <w:highlight w:val="none"/>
        </w:rPr>
        <w:t xml:space="preserve">无效响应文件。</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highlight w:val="none"/>
        </w:rP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45" w:name="_Toc25137"/>
      <w:r>
        <w:rPr>
          <w:highlight w:val="none"/>
        </w:rPr>
      </w:r>
      <w:bookmarkStart w:id="246" w:name="_Toc20823304"/>
      <w:r>
        <w:rPr>
          <w:highlight w:val="none"/>
        </w:rPr>
      </w:r>
      <w:bookmarkStart w:id="247" w:name="_Toc513029232"/>
      <w:r>
        <w:rPr>
          <w:highlight w:val="none"/>
        </w:rPr>
      </w:r>
      <w:bookmarkStart w:id="248" w:name="_Toc16938548"/>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rPr>
          <w:highlight w:val="none"/>
        </w:rPr>
      </w:r>
      <w:bookmarkEnd w:id="246"/>
      <w:r>
        <w:rPr>
          <w:highlight w:val="none"/>
        </w:rPr>
      </w:r>
      <w:bookmarkEnd w:id="247"/>
      <w:r>
        <w:rPr>
          <w:highlight w:val="none"/>
        </w:rPr>
      </w:r>
      <w:bookmarkEnd w:id="248"/>
      <w:r>
        <w:rPr>
          <w:highlight w:val="none"/>
        </w:rPr>
      </w:r>
      <w:r>
        <w:rPr>
          <w:highlight w:val="none"/>
        </w:rP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rPr>
          <w:highlight w:val="none"/>
        </w:rP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rPr>
          <w:highlight w:val="none"/>
        </w:rP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rPr>
          <w:highlight w:val="none"/>
        </w:rPr>
      </w:r>
    </w:p>
    <w:p>
      <w:pPr>
        <w:rPr>
          <w:rFonts w:hint="eastAsia"/>
          <w:color w:val="auto"/>
          <w:highlight w:val="none"/>
        </w:rPr>
      </w:pPr>
      <w:r>
        <w:rPr>
          <w:highlight w:val="none"/>
        </w:rPr>
      </w:r>
      <w:bookmarkStart w:id="249" w:name="_Toc16938549"/>
      <w:r>
        <w:rPr>
          <w:highlight w:val="none"/>
        </w:rPr>
      </w:r>
      <w:bookmarkStart w:id="250" w:name="_Toc20823305"/>
      <w:r>
        <w:rPr>
          <w:highlight w:val="none"/>
        </w:rPr>
      </w:r>
      <w:bookmarkStart w:id="251" w:name="_Toc513029233"/>
      <w:r>
        <w:rPr>
          <w:highlight w:val="none"/>
        </w:rPr>
      </w:r>
      <w:bookmarkStart w:id="252" w:name="_Toc31486"/>
      <w:r>
        <w:rPr>
          <w:highlight w:val="none"/>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rPr>
          <w:highlight w:val="none"/>
        </w:rPr>
      </w:r>
      <w:bookmarkEnd w:id="250"/>
      <w:r>
        <w:rPr>
          <w:highlight w:val="none"/>
        </w:rPr>
      </w:r>
      <w:bookmarkEnd w:id="251"/>
      <w:r>
        <w:rPr>
          <w:rFonts w:hint="eastAsia" w:ascii="宋体" w:hAnsi="宋体" w:eastAsia="宋体" w:cs="宋体"/>
          <w:b/>
          <w:bCs/>
          <w:color w:val="auto"/>
          <w:sz w:val="28"/>
          <w:szCs w:val="28"/>
          <w:highlight w:val="none"/>
        </w:rPr>
        <w:t xml:space="preserve">查</w:t>
      </w:r>
      <w:bookmarkEnd w:id="252"/>
      <w:r>
        <w:rPr>
          <w:highlight w:val="none"/>
        </w:rPr>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磋商小组将对确定为实质性响应的文件进行进一步审核，看其是否有计算上或累加上的算术错误，修正错误的原则如下：</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w:t>
      </w:r>
      <w:r>
        <w:rPr>
          <w:rFonts w:hint="eastAsia" w:ascii="宋体" w:hAnsi="宋体" w:eastAsia="宋体" w:cs="Times New Roman"/>
          <w:color w:val="auto"/>
          <w:sz w:val="24"/>
          <w:szCs w:val="24"/>
          <w:highlight w:val="none"/>
        </w:rPr>
        <w:t xml:space="preserve">响应文件中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w:t>
      </w:r>
      <w:r>
        <w:rPr>
          <w:rFonts w:hint="eastAsia" w:ascii="宋体" w:hAnsi="宋体" w:eastAsia="宋体" w:cs="Times New Roman"/>
          <w:color w:val="auto"/>
          <w:sz w:val="24"/>
          <w:szCs w:val="24"/>
          <w:highlight w:val="none"/>
        </w:rPr>
        <w:t xml:space="preserve">大写金额和小写金额不一致的，以大写金额为准。</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w:t>
      </w:r>
      <w:r>
        <w:rPr>
          <w:rFonts w:hint="eastAsia" w:ascii="宋体" w:hAnsi="宋体" w:eastAsia="宋体" w:cs="Times New Roman"/>
          <w:color w:val="auto"/>
          <w:sz w:val="24"/>
          <w:szCs w:val="24"/>
          <w:highlight w:val="none"/>
        </w:rPr>
        <w:t xml:space="preserve">单价金额小数点或者百分比有明显错位的，以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w:t>
      </w:r>
      <w:r>
        <w:rPr>
          <w:rFonts w:hint="eastAsia" w:ascii="宋体" w:hAnsi="宋体" w:eastAsia="宋体" w:cs="Times New Roman"/>
          <w:color w:val="auto"/>
          <w:sz w:val="24"/>
          <w:szCs w:val="24"/>
          <w:highlight w:val="none"/>
        </w:rPr>
        <w:t xml:space="preserve">总价金额与按单价汇总金额不一致的，以单价金额计算结果为准。</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w:t>
      </w:r>
      <w:r>
        <w:rPr>
          <w:rFonts w:hint="eastAsia" w:ascii="宋体" w:hAnsi="宋体" w:cs="Times New Roman"/>
          <w:color w:val="auto"/>
          <w:sz w:val="24"/>
          <w:szCs w:val="24"/>
          <w:highlight w:val="none"/>
          <w:lang w:eastAsia="zh-CN"/>
        </w:rPr>
        <w:t xml:space="preserve">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highlight w:val="none"/>
        </w:rPr>
      </w:r>
      <w:bookmarkStart w:id="253" w:name="_Toc16938550"/>
      <w:r>
        <w:rPr>
          <w:highlight w:val="none"/>
        </w:rPr>
      </w:r>
      <w:bookmarkStart w:id="254" w:name="_Toc20823306"/>
      <w:r>
        <w:rPr>
          <w:highlight w:val="none"/>
        </w:rPr>
      </w:r>
      <w:bookmarkStart w:id="255" w:name="_Toc513029234"/>
      <w:r>
        <w:rPr>
          <w:rFonts w:hint="eastAsia" w:ascii="宋体" w:hAnsi="宋体" w:cs="Times New Roman"/>
          <w:color w:val="auto"/>
          <w:sz w:val="24"/>
          <w:szCs w:val="24"/>
          <w:highlight w:val="none"/>
          <w:lang w:val="en-US" w:eastAsia="zh-CN"/>
        </w:rPr>
        <w:t xml:space="preserve">26.6提供相同品牌产品且通过资格审查、符合性审查的不同供应商参加同一合同项下投标的，按一家供应商计算，评审后得分最高的同品牌供应商获得成交供应商推荐资格；评审得分相同的，由磋商小组根据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rPr>
          <w:highlight w:val="none"/>
        </w:rPr>
      </w:r>
    </w:p>
    <w:p>
      <w:pPr>
        <w:ind w:firstLine="480"/>
        <w:pageBreakBefore w:val="0"/>
        <w:spacing w:line="240" w:lineRule="auto"/>
        <w:widowControl w:val="off"/>
        <w:rPr>
          <w:rFonts w:hint="default"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rPr>
          <w:highlight w:val="none"/>
        </w:rP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rPr>
          <w:highlight w:val="none"/>
        </w:rP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rPr>
        <w:outlineLvl w:val="9"/>
      </w:pPr>
      <w:r>
        <w:rPr>
          <w:rFonts w:hint="eastAsia" w:ascii="宋体" w:hAnsi="宋体" w:eastAsia="宋体" w:cs="Times New Roman"/>
          <w:b/>
          <w:bCs/>
          <w:color w:val="auto"/>
          <w:sz w:val="28"/>
          <w:szCs w:val="28"/>
          <w:highlight w:val="none"/>
          <w:lang w:val="en-US" w:eastAsia="zh-CN"/>
        </w:rPr>
      </w:r>
      <w:r>
        <w:rPr>
          <w:highlight w:val="none"/>
        </w:rP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rPr>
        <w:outlineLvl w:val="9"/>
      </w:pPr>
      <w:r>
        <w:rPr>
          <w:rFonts w:hint="eastAsia" w:ascii="宋体" w:hAnsi="宋体" w:eastAsia="宋体" w:cs="Times New Roman"/>
          <w:b/>
          <w:bCs/>
          <w:color w:val="auto"/>
          <w:sz w:val="28"/>
          <w:szCs w:val="28"/>
          <w:highlight w:val="none"/>
          <w:lang w:val="en-US" w:eastAsia="zh-CN"/>
        </w:rPr>
        <w:t xml:space="preserve">27.有下列情形之一的，视为供应商串通投标：</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27.1不同供应商的响应文件由同一单位或者个人编制；</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27.2不同供应商委托同一单位或者个人办理磋商事宜；</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27.3不同供应商的响应文件载明的项目管理成员或者联系人员为同一人；</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27.4不同供应商的响应文件异常一致或者磋商报价呈规律性差异；</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27.5不同供应商的响应文件经系统查询Mac地址、标书制作工具客户端标识码相同或部分相同（符合本条款不同的供应商不得参加本项目的后续采购事项，并移送政府采购监管部门进行处理）。</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27.6不同供应商的响应文件经系统查询互联网协议地址（IP地址）相同，经磋商小组认定符合串标情形的（符合本条款不同的供应商不得参加本项目的后续采购事项，并移送政府采购监管部门进行处理）；如现场无法认定的，项目继续进行，评审结束后由采购代理机构移交财政主管部门调查处理。</w:t>
      </w:r>
      <w:r>
        <w:rPr>
          <w:highlight w:val="none"/>
        </w:rP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rPr>
        <w:outlineLvl w:val="9"/>
      </w:pPr>
      <w:r>
        <w:rPr>
          <w:rFonts w:hint="eastAsia" w:ascii="宋体" w:hAnsi="宋体" w:cs="Times New Roman"/>
          <w:b/>
          <w:bCs/>
          <w:color w:val="auto"/>
          <w:sz w:val="28"/>
          <w:szCs w:val="28"/>
          <w:highlight w:val="none"/>
          <w:lang w:val="en-US" w:eastAsia="zh-CN"/>
        </w:rPr>
      </w:r>
      <w:r>
        <w:rPr>
          <w:highlight w:val="none"/>
        </w:rP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rPr>
        <w:outlineLvl w:val="9"/>
      </w:pPr>
      <w:r>
        <w:rPr>
          <w:rFonts w:hint="eastAsia" w:ascii="宋体" w:hAnsi="宋体" w:cs="Times New Roman"/>
          <w:b/>
          <w:bCs/>
          <w:color w:val="auto"/>
          <w:sz w:val="28"/>
          <w:szCs w:val="28"/>
          <w:highlight w:val="none"/>
          <w:lang w:val="en-US" w:eastAsia="zh-CN"/>
        </w:rPr>
        <w:t xml:space="preserve">28.</w:t>
      </w:r>
      <w:r>
        <w:rPr>
          <w:rFonts w:hint="eastAsia" w:ascii="宋体" w:hAnsi="宋体" w:eastAsia="宋体" w:cs="Times New Roman"/>
          <w:b/>
          <w:bCs/>
          <w:color w:val="auto"/>
          <w:sz w:val="28"/>
          <w:szCs w:val="28"/>
          <w:highlight w:val="none"/>
          <w:lang w:val="en-US" w:eastAsia="zh-CN"/>
        </w:rPr>
        <w:t xml:space="preserve">无效投标条款和废标条款</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.1无效投标条款</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28.1.1</w:t>
      </w:r>
      <w:r>
        <w:rPr>
          <w:rFonts w:hint="eastAsia" w:ascii="宋体" w:hAnsi="宋体" w:eastAsia="宋体" w:cs="Times New Roman"/>
          <w:color w:val="auto"/>
          <w:sz w:val="24"/>
          <w:szCs w:val="24"/>
          <w:highlight w:val="none"/>
          <w:lang w:val="en-US" w:eastAsia="zh-CN"/>
        </w:rPr>
        <w:t xml:space="preserve">供应商在苏采云系统规定的时间内未成功解密电子响应文件的。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28.1.2供应商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的或上传的文件打不开的。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28.1.3</w:t>
      </w:r>
      <w:r>
        <w:rPr>
          <w:rFonts w:hint="eastAsia" w:ascii="宋体" w:hAnsi="宋体" w:eastAsia="宋体" w:cs="Times New Roman"/>
          <w:color w:val="auto"/>
          <w:sz w:val="24"/>
          <w:szCs w:val="24"/>
          <w:highlight w:val="none"/>
          <w:lang w:val="en-US" w:eastAsia="zh-CN"/>
        </w:rPr>
        <w:t xml:space="preserve">同一</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28.1.4</w:t>
      </w:r>
      <w:r>
        <w:rPr>
          <w:rFonts w:hint="eastAsia" w:ascii="宋体" w:hAnsi="宋体" w:eastAsia="宋体" w:cs="Times New Roman"/>
          <w:color w:val="auto"/>
          <w:sz w:val="24"/>
          <w:szCs w:val="24"/>
          <w:highlight w:val="none"/>
          <w:lang w:val="en-US" w:eastAsia="zh-CN"/>
        </w:rPr>
        <w:t xml:space="preserve">未通过资格审查的。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28.1.5</w:t>
      </w:r>
      <w:r>
        <w:rPr>
          <w:rFonts w:hint="eastAsia" w:ascii="宋体" w:hAnsi="宋体" w:eastAsia="宋体" w:cs="Times New Roman"/>
          <w:color w:val="auto"/>
          <w:sz w:val="24"/>
          <w:szCs w:val="24"/>
          <w:highlight w:val="none"/>
          <w:lang w:val="en-US" w:eastAsia="zh-CN"/>
        </w:rPr>
        <w:t xml:space="preserve">未通过符合性审查的。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28.1.6</w:t>
      </w:r>
      <w:r>
        <w:rPr>
          <w:rFonts w:hint="eastAsia" w:ascii="宋体" w:hAnsi="宋体" w:eastAsia="宋体" w:cs="Times New Roman"/>
          <w:color w:val="auto"/>
          <w:sz w:val="24"/>
          <w:szCs w:val="24"/>
          <w:highlight w:val="none"/>
          <w:lang w:val="en-US" w:eastAsia="zh-CN"/>
        </w:rPr>
        <w:t xml:space="preserve">不符合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28.1.7</w:t>
      </w:r>
      <w:r>
        <w:rPr>
          <w:rFonts w:hint="eastAsia" w:ascii="宋体" w:hAnsi="宋体" w:eastAsia="宋体" w:cs="Times New Roman"/>
          <w:color w:val="auto"/>
          <w:sz w:val="24"/>
          <w:szCs w:val="24"/>
          <w:highlight w:val="none"/>
          <w:lang w:val="en-US" w:eastAsia="zh-CN"/>
        </w:rPr>
        <w:t xml:space="preserve">报价明显低于其自身合理成本且又无法提供有效证明的；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28.1.8</w:t>
      </w:r>
      <w:r>
        <w:rPr>
          <w:rFonts w:hint="eastAsia" w:ascii="宋体" w:hAnsi="宋体" w:eastAsia="宋体" w:cs="Times New Roman"/>
          <w:color w:val="auto"/>
          <w:sz w:val="24"/>
          <w:szCs w:val="24"/>
          <w:highlight w:val="none"/>
          <w:lang w:val="en-US" w:eastAsia="zh-CN"/>
        </w:rPr>
        <w:t xml:space="preserve">本项目采购产品被财政部、国家发展和改革委员会、生态环境部等列入“节能产品品目清单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中必须提供国家确定的认证机构出具的、处于有效期之内的该节能产品认证证书扫描件）</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28.1.9响应文件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28.1.10供应商的商务技术部分得分相差异常悬殊，磋商小组一致认为得分畸低者有可能影响产品质量或者不能诚信履约的或商务技术得分低于总分值的50%。</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28.1.11</w:t>
      </w:r>
      <w:r>
        <w:rPr>
          <w:rFonts w:hint="eastAsia" w:ascii="宋体" w:hAnsi="宋体" w:eastAsia="宋体" w:cs="Times New Roman"/>
          <w:color w:val="auto"/>
          <w:sz w:val="24"/>
          <w:szCs w:val="24"/>
          <w:highlight w:val="none"/>
          <w:lang w:val="en-US" w:eastAsia="zh-CN"/>
        </w:rPr>
        <w:t xml:space="preserve">其他</w:t>
      </w:r>
      <w:r>
        <w:rPr>
          <w:rFonts w:hint="eastAsia" w:ascii="宋体" w:hAnsi="宋体" w:cs="Times New Roman"/>
          <w:color w:val="auto"/>
          <w:sz w:val="24"/>
          <w:szCs w:val="24"/>
          <w:highlight w:val="none"/>
          <w:lang w:val="en-US" w:eastAsia="zh-CN"/>
        </w:rPr>
        <w:t xml:space="preserve">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.2废标条款</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28.2.1</w:t>
      </w:r>
      <w:r>
        <w:rPr>
          <w:rFonts w:hint="eastAsia" w:ascii="宋体" w:hAnsi="宋体" w:eastAsia="宋体" w:cs="Times New Roman"/>
          <w:color w:val="auto"/>
          <w:sz w:val="24"/>
          <w:szCs w:val="24"/>
          <w:highlight w:val="none"/>
          <w:lang w:val="en-US" w:eastAsia="zh-CN"/>
        </w:rPr>
        <w:t xml:space="preserve">符合条件的供应商或者对磋商文件作实质响应的供应商不足3家的（市场竞争不充分的科研项目，以及需要扶持的科技成果转化项目可以是2家）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28.2.2</w:t>
      </w:r>
      <w:r>
        <w:rPr>
          <w:rFonts w:hint="eastAsia" w:ascii="宋体" w:hAnsi="宋体" w:eastAsia="宋体" w:cs="Times New Roman"/>
          <w:color w:val="auto"/>
          <w:sz w:val="24"/>
          <w:szCs w:val="24"/>
          <w:highlight w:val="none"/>
          <w:lang w:val="en-US" w:eastAsia="zh-CN"/>
        </w:rPr>
        <w:t xml:space="preserve">出现影响采购公正的违法、违规行为的。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28.2.3</w:t>
      </w:r>
      <w:r>
        <w:rPr>
          <w:rFonts w:hint="eastAsia" w:ascii="宋体" w:hAnsi="宋体" w:eastAsia="宋体" w:cs="Times New Roman"/>
          <w:color w:val="auto"/>
          <w:sz w:val="24"/>
          <w:szCs w:val="24"/>
          <w:highlight w:val="none"/>
          <w:lang w:val="en-US" w:eastAsia="zh-CN"/>
        </w:rPr>
        <w:t xml:space="preserve">因重大变故，采购任务取消的。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28.2.4磋商小组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28.2.5</w:t>
      </w:r>
      <w:r>
        <w:rPr>
          <w:rFonts w:hint="eastAsia" w:ascii="宋体" w:hAnsi="宋体" w:eastAsia="宋体" w:cs="Times New Roman"/>
          <w:color w:val="auto"/>
          <w:sz w:val="24"/>
          <w:szCs w:val="24"/>
          <w:highlight w:val="none"/>
          <w:lang w:val="en-US" w:eastAsia="zh-CN"/>
        </w:rPr>
        <w:t xml:space="preserve">因苏采云系统故障原因造成磋商不成功的。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28.2.6</w:t>
      </w:r>
      <w:r>
        <w:rPr>
          <w:rFonts w:hint="eastAsia" w:ascii="宋体" w:hAnsi="宋体" w:eastAsia="宋体" w:cs="Times New Roman"/>
          <w:color w:val="auto"/>
          <w:sz w:val="24"/>
          <w:szCs w:val="24"/>
          <w:highlight w:val="none"/>
          <w:lang w:val="en-US" w:eastAsia="zh-CN"/>
        </w:rPr>
        <w:t xml:space="preserve">磋商结束后，递交最后报价的供应商不足三家的；</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28.2.7</w:t>
      </w:r>
      <w:r>
        <w:rPr>
          <w:rFonts w:hint="eastAsia" w:ascii="宋体" w:hAnsi="宋体" w:eastAsia="宋体" w:cs="Times New Roman"/>
          <w:color w:val="auto"/>
          <w:sz w:val="24"/>
          <w:szCs w:val="24"/>
          <w:highlight w:val="none"/>
          <w:lang w:val="en-US" w:eastAsia="zh-CN"/>
        </w:rPr>
        <w:t xml:space="preserve">磋商小组认定竞争性磋商文件存在歧义、重大缺陷导致评审工作无法进行；</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或者在评审期间对磋商文件做出实质响应的供应商不足三家情况，按政府采购相关规定执行。</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r>
      <w:r>
        <w:rPr>
          <w:highlight w:val="none"/>
        </w:rP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rPr>
          <w:highlight w:val="none"/>
        </w:rP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29.1异常低价处理：评审过程中出现下列情形之一的，磋商小组应当启动异常低价投标（响应）审查程序。</w:t>
      </w:r>
      <w:r>
        <w:rPr>
          <w:highlight w:val="none"/>
        </w:rP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29.1.1响应报价低于采购项目预算50%的，即响应报价＜采购项目预算×50%；</w:t>
      </w:r>
      <w:r>
        <w:rPr>
          <w:highlight w:val="none"/>
        </w:rP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29.1.2响应报价低于采购项目最高限价45%的，即响应报价＜采购项目最高限价×45%；</w:t>
      </w:r>
      <w:r>
        <w:rPr>
          <w:highlight w:val="none"/>
        </w:rP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29.1.3磋商小组认定的供应商报价过低、有可能影响产品质量或者不能诚信履约的其他情形。</w:t>
      </w:r>
      <w:r>
        <w:rPr>
          <w:highlight w:val="none"/>
        </w:rP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供应商投标报价有上述异常低价情形时，磋商小组应当启动异常低价审查程序，并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rPr>
          <w:highlight w:val="none"/>
        </w:rP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29.2异常得分处理</w:t>
      </w:r>
      <w:r>
        <w:rPr>
          <w:highlight w:val="none"/>
        </w:rP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rPr>
          <w:highlight w:val="none"/>
        </w:rP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rPr>
        <w:outlineLvl w:val="9"/>
      </w:pPr>
      <w:r>
        <w:rPr>
          <w:rFonts w:hint="default" w:ascii="宋体" w:hAnsi="宋体" w:eastAsia="宋体" w:cs="Times New Roman"/>
          <w:color w:val="auto"/>
          <w:sz w:val="24"/>
          <w:szCs w:val="24"/>
          <w:highlight w:val="none"/>
          <w:lang w:val="en-US" w:eastAsia="zh-CN"/>
        </w:rPr>
      </w:r>
      <w:r>
        <w:rPr>
          <w:highlight w:val="none"/>
        </w:rP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highlight w:val="none"/>
        </w:r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rPr>
          <w:highlight w:val="none"/>
        </w:rPr>
      </w:r>
      <w:bookmarkEnd w:id="254"/>
      <w:r>
        <w:rPr>
          <w:highlight w:val="none"/>
        </w:rPr>
      </w:r>
      <w:bookmarkEnd w:id="255"/>
      <w:r>
        <w:rPr>
          <w:rFonts w:hint="eastAsia" w:ascii="宋体" w:hAnsi="宋体" w:eastAsia="宋体" w:cs="宋体"/>
          <w:b/>
          <w:bCs/>
          <w:color w:val="auto"/>
          <w:sz w:val="28"/>
          <w:szCs w:val="28"/>
          <w:highlight w:val="none"/>
        </w:rPr>
        <w:t xml:space="preserve">磋商程序及评审方法和评审标准</w:t>
      </w:r>
      <w:bookmarkEnd w:id="256"/>
      <w:r>
        <w:rPr>
          <w:highlight w:val="none"/>
        </w:rPr>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highlight w:val="none"/>
        </w:rPr>
      </w:r>
      <w:bookmarkStart w:id="257" w:name="_Toc513029235"/>
      <w:r>
        <w:rPr>
          <w:highlight w:val="none"/>
        </w:rPr>
      </w:r>
      <w:bookmarkStart w:id="258" w:name="_Toc120614219"/>
      <w:r>
        <w:rPr>
          <w:highlight w:val="none"/>
        </w:rPr>
      </w:r>
      <w:bookmarkStart w:id="259" w:name="_Toc16938551"/>
      <w:r>
        <w:rPr>
          <w:highlight w:val="none"/>
        </w:rPr>
      </w:r>
      <w:bookmarkStart w:id="260" w:name="_Toc20823307"/>
      <w:r>
        <w:rPr>
          <w:highlight w:val="none"/>
        </w:rPr>
      </w:r>
      <w:bookmarkStart w:id="261" w:name="_Toc23778"/>
      <w:r>
        <w:rPr>
          <w:highlight w:val="none"/>
        </w:rPr>
      </w:r>
      <w:bookmarkStart w:id="262" w:name="_Toc30950"/>
      <w:r>
        <w:rPr>
          <w:highlight w:val="none"/>
        </w:rPr>
      </w:r>
      <w:bookmarkStart w:id="263" w:name="_Toc5953"/>
      <w:r>
        <w:rPr>
          <w:highlight w:val="none"/>
        </w:rPr>
      </w:r>
      <w:bookmarkStart w:id="264" w:name="_Toc8614"/>
      <w:r>
        <w:rPr>
          <w:highlight w:val="none"/>
        </w:rPr>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rPr>
          <w:highlight w:val="none"/>
        </w:rPr>
      </w:r>
      <w:bookmarkEnd w:id="258"/>
      <w:r>
        <w:rPr>
          <w:highlight w:val="none"/>
        </w:rPr>
      </w:r>
      <w:bookmarkEnd w:id="259"/>
      <w:r>
        <w:rPr>
          <w:highlight w:val="none"/>
        </w:rPr>
      </w:r>
      <w:bookmarkEnd w:id="260"/>
      <w:r>
        <w:rPr>
          <w:rFonts w:hint="eastAsia" w:ascii="Times New Roman" w:hAnsi="Times New Roman"/>
          <w:b/>
          <w:bCs/>
          <w:color w:val="auto"/>
          <w:sz w:val="32"/>
          <w:szCs w:val="32"/>
          <w:highlight w:val="none"/>
        </w:rPr>
        <w:t xml:space="preserve">成交</w:t>
      </w:r>
      <w:bookmarkEnd w:id="261"/>
      <w:r>
        <w:rPr>
          <w:highlight w:val="none"/>
        </w:rPr>
      </w:r>
      <w:bookmarkEnd w:id="262"/>
      <w:r>
        <w:rPr>
          <w:highlight w:val="none"/>
        </w:rPr>
      </w:r>
      <w:bookmarkEnd w:id="263"/>
      <w:r>
        <w:rPr>
          <w:highlight w:val="none"/>
        </w:rPr>
      </w:r>
      <w:bookmarkEnd w:id="264"/>
      <w:r>
        <w:rPr>
          <w:highlight w:val="none"/>
        </w:rPr>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highlight w:val="none"/>
        </w:rPr>
      </w:r>
      <w:bookmarkStart w:id="265" w:name="_Toc513029238"/>
      <w:r>
        <w:rPr>
          <w:highlight w:val="none"/>
        </w:rPr>
      </w:r>
      <w:bookmarkStart w:id="266" w:name="_Toc20823310"/>
      <w:r>
        <w:rPr>
          <w:highlight w:val="none"/>
        </w:rPr>
      </w:r>
      <w:bookmarkStart w:id="267" w:name="_Toc16938554"/>
      <w:r>
        <w:rPr>
          <w:highlight w:val="none"/>
        </w:rPr>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rPr>
          <w:highlight w:val="none"/>
        </w:rPr>
      </w:r>
      <w:bookmarkEnd w:id="267"/>
      <w:r>
        <w:rPr>
          <w:rFonts w:hint="eastAsia" w:ascii="宋体" w:hAnsi="宋体" w:eastAsia="宋体" w:cs="宋体"/>
          <w:b/>
          <w:bCs w:val="0"/>
          <w:color w:val="auto"/>
          <w:sz w:val="30"/>
          <w:szCs w:val="30"/>
          <w:highlight w:val="none"/>
        </w:rPr>
        <w:t xml:space="preserve">成交单位</w:t>
      </w:r>
      <w:bookmarkEnd w:id="268"/>
      <w:r>
        <w:rPr>
          <w:highlight w:val="none"/>
        </w:rPr>
      </w:r>
      <w:r>
        <w:rPr>
          <w:highlight w:val="none"/>
        </w:rP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rPr>
          <w:highlight w:val="none"/>
        </w:rP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rPr>
          <w:highlight w:val="none"/>
        </w:rP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rPr>
          <w:highlight w:val="none"/>
        </w:rP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.2采购人应根据磋商小组推荐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采购人确定成交供应商后，</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将在“江苏政府采购网”发布成交结果公告，公告期限为1个工作日。</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.3若有充分证据证明，成交供应商出现下列情况之一的，一经查实，将被取消成交资格：</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.3.1提供虚假材料谋取成交的。</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.3.2与评审专家、采购人、其他供应商或者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.3.3向评审专家、采购人或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.3.4恶意竞争，最后报价明显低于其自身合理成本且又无法提供证明的。</w:t>
      </w:r>
      <w:r>
        <w:rPr>
          <w:highlight w:val="none"/>
        </w:rP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.3.5不满足本磋商文件规定的实质性要求，但在评审过程中又未被磋商小组发现的。</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.3.6成交后无正当理由拒不与采购人签订政府采购合同或者未按照磋商文件确定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.3.7将政府采购合同转包的。</w:t>
      </w:r>
      <w:r>
        <w:rPr>
          <w:highlight w:val="none"/>
        </w:rPr>
      </w:r>
    </w:p>
    <w:p>
      <w:pPr>
        <w:ind w:firstLine="480"/>
        <w:pageBreakBefore w:val="0"/>
        <w:spacing w:line="240" w:lineRule="auto"/>
        <w:widowControl w:val="off"/>
        <w:rPr>
          <w:rFonts w:hint="default"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.3.8采取不正当手段诋毁、排挤其他供应商的</w:t>
      </w:r>
      <w:r>
        <w:rPr>
          <w:rFonts w:hint="eastAsia" w:ascii="宋体" w:hAnsi="宋体" w:cs="Times New Roman"/>
          <w:bCs/>
          <w:color w:val="auto"/>
          <w:sz w:val="24"/>
          <w:szCs w:val="21"/>
          <w:highlight w:val="none"/>
          <w:lang w:val="en-US" w:eastAsia="zh-CN" w:bidi="ar-SA"/>
        </w:rPr>
        <w:t xml:space="preserve">。</w:t>
      </w:r>
      <w:r>
        <w:rPr>
          <w:highlight w:val="none"/>
        </w:rPr>
      </w:r>
    </w:p>
    <w:p>
      <w:pPr>
        <w:ind w:firstLine="301"/>
        <w:keepLines/>
        <w:keepNext/>
        <w:pageBreakBefore w:val="0"/>
        <w:spacing w:line="240" w:lineRule="auto"/>
        <w:widowControl w:val="off"/>
        <w:rPr>
          <w:rFonts w:hint="eastAsia" w:ascii="宋体" w:hAnsi="宋体" w:cs="宋体"/>
          <w:b/>
          <w:bCs w:val="0"/>
          <w:color w:val="auto"/>
          <w:sz w:val="30"/>
          <w:szCs w:val="30"/>
          <w:highlight w:val="none"/>
        </w:rPr>
        <w:outlineLvl w:val="9"/>
      </w:pPr>
      <w:r>
        <w:rPr>
          <w:highlight w:val="none"/>
        </w:rPr>
      </w:r>
      <w:bookmarkStart w:id="269" w:name="_Toc12756"/>
      <w:r>
        <w:rPr>
          <w:highlight w:val="none"/>
        </w:rPr>
      </w:r>
      <w:bookmarkStart w:id="270" w:name="_Toc200451960"/>
      <w:r>
        <w:rPr>
          <w:highlight w:val="none"/>
        </w:rPr>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w:t>
      </w:r>
      <w:r>
        <w:rPr>
          <w:rFonts w:hint="eastAsia" w:ascii="宋体" w:hAnsi="宋体" w:eastAsia="宋体" w:cs="宋体"/>
          <w:b/>
          <w:bCs w:val="0"/>
          <w:color w:val="auto"/>
          <w:sz w:val="30"/>
          <w:szCs w:val="30"/>
          <w:highlight w:val="none"/>
        </w:rPr>
        <w:t xml:space="preserve">质疑处理</w:t>
      </w:r>
      <w:bookmarkEnd w:id="269"/>
      <w:r>
        <w:rPr>
          <w:highlight w:val="none"/>
        </w:rPr>
      </w:r>
      <w:bookmarkEnd w:id="270"/>
      <w:r>
        <w:rPr>
          <w:highlight w:val="none"/>
        </w:rPr>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提出质疑的供应商应当是参与所质疑项目采购活动的供应商。潜在供应商依法获取其可质疑的采购文件的，可以对采购文件提出质疑。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.2.1对可以质疑的采购文件提出质疑的，为收到采购文件之日或者采购文件公告期限届满之日。</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.2.2对采购过程提出质疑的，为各采购程序环节结束之日。</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.2.3对成交结果提出质疑的，为成交结果公告期限届满之日。</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采购方式、采购文件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可以组织原评审委员会协助答复质疑。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w:t>
      </w:r>
      <w:r>
        <w:rPr>
          <w:rFonts w:hint="eastAsia" w:ascii="宋体" w:hAnsi="宋体" w:eastAsia="宋体" w:cs="Times New Roman"/>
          <w:bCs/>
          <w:color w:val="auto"/>
          <w:sz w:val="24"/>
          <w:szCs w:val="21"/>
          <w:highlight w:val="none"/>
        </w:rPr>
        <w:t xml:space="preserve">内容不符合《政府采购质疑和投诉办法》第十二条规定的质疑。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w:t>
      </w:r>
      <w:r>
        <w:rPr>
          <w:rFonts w:hint="eastAsia" w:ascii="宋体" w:hAnsi="宋体" w:eastAsia="宋体" w:cs="Times New Roman"/>
          <w:bCs/>
          <w:color w:val="auto"/>
          <w:sz w:val="24"/>
          <w:szCs w:val="21"/>
          <w:highlight w:val="none"/>
        </w:rPr>
        <w:t xml:space="preserve">超出政府采购法定期限的质疑。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w:t>
      </w:r>
      <w:r>
        <w:rPr>
          <w:rFonts w:hint="eastAsia" w:ascii="宋体" w:hAnsi="宋体" w:eastAsia="宋体" w:cs="Times New Roman"/>
          <w:bCs/>
          <w:color w:val="auto"/>
          <w:sz w:val="24"/>
          <w:szCs w:val="21"/>
          <w:highlight w:val="none"/>
        </w:rPr>
        <w:t xml:space="preserve">以传真、电子邮件等方式递交的非原件形式的质疑。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w:t>
      </w:r>
      <w:r>
        <w:rPr>
          <w:rFonts w:hint="eastAsia" w:ascii="宋体" w:hAnsi="宋体" w:eastAsia="宋体" w:cs="Times New Roman"/>
          <w:bCs/>
          <w:color w:val="auto"/>
          <w:sz w:val="24"/>
          <w:szCs w:val="21"/>
          <w:highlight w:val="none"/>
        </w:rPr>
        <w:t xml:space="preserve">未参加磋商活动的供应商或在磋商活动中自身权益未受到损害的供应商所提出的质疑。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w:t>
      </w:r>
      <w:r>
        <w:rPr>
          <w:rFonts w:hint="eastAsia" w:ascii="宋体" w:hAnsi="宋体" w:eastAsia="宋体" w:cs="Times New Roman"/>
          <w:bCs/>
          <w:color w:val="auto"/>
          <w:sz w:val="24"/>
          <w:szCs w:val="21"/>
          <w:highlight w:val="none"/>
        </w:rPr>
        <w:t xml:space="preserve">供应商组成联合体参加磋商，联合体中任何一方或多方未按要求签字、盖章、加盖公章的质疑。</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eastAsia="宋体" w:cs="Times New Roman"/>
          <w:bCs/>
          <w:color w:val="auto"/>
          <w:sz w:val="24"/>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highlight w:val="none"/>
        </w:rPr>
      </w:r>
      <w:bookmarkStart w:id="271" w:name="_Toc11997"/>
      <w:r>
        <w:rPr>
          <w:highlight w:val="none"/>
        </w:rPr>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成交通知书</w:t>
      </w:r>
      <w:bookmarkEnd w:id="271"/>
      <w:r>
        <w:rPr>
          <w:highlight w:val="none"/>
        </w:rPr>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.1成交结果确定后，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highlight w:val="none"/>
        </w:rPr>
      </w:r>
      <w:bookmarkStart w:id="272" w:name="_Toc15236"/>
      <w:r>
        <w:rPr>
          <w:highlight w:val="none"/>
        </w:rPr>
      </w:r>
      <w:bookmarkStart w:id="273" w:name="_Toc11332"/>
      <w:r>
        <w:rPr>
          <w:highlight w:val="none"/>
        </w:rPr>
      </w:r>
      <w:bookmarkStart w:id="274" w:name="_Toc2162"/>
      <w:r>
        <w:rPr>
          <w:highlight w:val="none"/>
        </w:rPr>
      </w:r>
      <w:bookmarkStart w:id="275" w:name="_Toc120614220"/>
      <w:r>
        <w:rPr>
          <w:highlight w:val="none"/>
        </w:rPr>
      </w:r>
      <w:bookmarkStart w:id="276" w:name="_Toc20588"/>
      <w:r>
        <w:rPr>
          <w:highlight w:val="none"/>
        </w:rPr>
      </w:r>
      <w:bookmarkStart w:id="277" w:name="_Toc20823308"/>
      <w:r>
        <w:rPr>
          <w:highlight w:val="none"/>
        </w:rPr>
      </w:r>
      <w:bookmarkStart w:id="278" w:name="_Toc513029236"/>
      <w:r>
        <w:rPr>
          <w:highlight w:val="none"/>
        </w:rPr>
      </w:r>
      <w:bookmarkStart w:id="279" w:name="_Toc16938552"/>
      <w:r>
        <w:rPr>
          <w:highlight w:val="none"/>
        </w:rPr>
      </w:r>
      <w:r>
        <w:rPr>
          <w:highlight w:val="none"/>
        </w:rP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highlight w:val="none"/>
        </w:rPr>
      </w:r>
      <w:bookmarkStart w:id="280" w:name="_Toc10134"/>
      <w:r>
        <w:rPr>
          <w:highlight w:val="none"/>
        </w:rPr>
      </w:r>
      <w:bookmarkStart w:id="281" w:name="_Toc20823309"/>
      <w:r>
        <w:rPr>
          <w:highlight w:val="none"/>
        </w:rPr>
      </w:r>
      <w:bookmarkStart w:id="282" w:name="_Toc513029237"/>
      <w:r>
        <w:rPr>
          <w:highlight w:val="none"/>
        </w:rPr>
      </w:r>
      <w:bookmarkStart w:id="283" w:name="_Toc16938553"/>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Pr>
          <w:highlight w:val="none"/>
        </w:rPr>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.l成交供应商应当在成交通知书发出之日起三十日内，按照磋商文件确定的事项与采购人签订政府采购合同。</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.2磋商文件、成交供应商的响应文件及磋商过程中有关澄清、承诺文件均应作为合同附件。</w:t>
      </w:r>
      <w:r>
        <w:rPr>
          <w:highlight w:val="none"/>
        </w:rP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highlight w:val="none"/>
        </w:rPr>
      </w:r>
      <w:bookmarkStart w:id="284" w:name="_Toc11438"/>
      <w:r>
        <w:rPr>
          <w:highlight w:val="none"/>
        </w:rPr>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标的物的追加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rPr>
          <w:highlight w:val="none"/>
        </w:rP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w:t>
      </w:r>
      <w:r>
        <w:rPr>
          <w:rFonts w:hint="eastAsia" w:ascii="宋体" w:hAnsi="宋体" w:cs="Times New Roman"/>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highlight w:val="none"/>
        </w:rPr>
      </w:r>
    </w:p>
    <w:p>
      <w:pPr>
        <w:ind w:firstLine="480"/>
        <w:pageBreakBefore w:val="0"/>
        <w:spacing w:line="240" w:lineRule="auto"/>
        <w:widowControl w:val="off"/>
        <w:rPr>
          <w:rFonts w:hint="default" w:ascii="宋体" w:hAnsi="宋体" w:eastAsia="宋体"/>
          <w:color w:val="auto"/>
          <w:sz w:val="24"/>
          <w:szCs w:val="24"/>
          <w:highlight w:val="none"/>
        </w:rPr>
        <w:outlineLvl w:val="9"/>
      </w:pPr>
      <w:r>
        <w:rPr>
          <w:rFonts w:hint="default" w:ascii="宋体" w:hAnsi="宋体" w:eastAsia="宋体"/>
          <w:color w:val="auto"/>
          <w:sz w:val="24"/>
          <w:szCs w:val="24"/>
          <w:highlight w:val="none"/>
          <w:lang w:val="en-US" w:eastAsia="zh-CN"/>
        </w:rPr>
      </w:r>
      <w:bookmarkEnd w:id="281"/>
      <w:r>
        <w:rPr>
          <w:highlight w:val="none"/>
        </w:rPr>
      </w:r>
      <w:bookmarkEnd w:id="282"/>
      <w:r>
        <w:rPr>
          <w:highlight w:val="none"/>
        </w:rPr>
      </w:r>
      <w:bookmarkEnd w:id="283"/>
      <w:r>
        <w:rPr>
          <w:highlight w:val="none"/>
        </w:rPr>
      </w:r>
      <w:r>
        <w:rPr>
          <w:highlight w:val="none"/>
        </w:rP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highlight w:val="none"/>
        </w:rPr>
      </w:r>
      <w:bookmarkStart w:id="285" w:name="_Toc841"/>
      <w:r>
        <w:rPr>
          <w:highlight w:val="none"/>
        </w:rPr>
      </w:r>
      <w:bookmarkStart w:id="286" w:name="_Toc513029242"/>
      <w:r>
        <w:rPr>
          <w:highlight w:val="none"/>
        </w:rPr>
      </w:r>
      <w:bookmarkStart w:id="287" w:name="_Toc120614221"/>
      <w:r>
        <w:rPr>
          <w:highlight w:val="none"/>
        </w:rPr>
      </w:r>
      <w:bookmarkStart w:id="288" w:name="_Toc16938558"/>
      <w:r>
        <w:rPr>
          <w:highlight w:val="none"/>
        </w:rPr>
      </w:r>
      <w:bookmarkStart w:id="289" w:name="_Toc479757207"/>
      <w:r>
        <w:rPr>
          <w:highlight w:val="none"/>
        </w:rPr>
      </w:r>
      <w:bookmarkStart w:id="290" w:name="_Toc20823314"/>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政府采购履约资金扶持政策</w:t>
      </w:r>
      <w:bookmarkEnd w:id="285"/>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r>
        <w:rPr>
          <w:highlight w:val="none"/>
        </w:rPr>
      </w:r>
    </w:p>
    <w:p>
      <w:pPr>
        <w:ind w:firstLine="480"/>
        <w:pageBreakBefore w:val="0"/>
        <w:spacing w:line="240" w:lineRule="auto"/>
        <w:rPr>
          <w:rFonts w:hint="eastAsia" w:ascii="宋体" w:hAnsi="宋体"/>
          <w:bCs/>
          <w:color w:val="auto"/>
          <w:sz w:val="24"/>
          <w:szCs w:val="24"/>
          <w:highlight w:val="none"/>
        </w:rPr>
        <w:outlineLvl w:val="9"/>
      </w:pPr>
      <w:r>
        <w:rPr>
          <w:highlight w:val="none"/>
        </w:rPr>
      </w:r>
      <w:bookmarkStart w:id="291" w:name="_Toc120614244"/>
      <w:r>
        <w:rPr>
          <w:highlight w:val="none"/>
        </w:rPr>
      </w:r>
      <w:bookmarkStart w:id="292" w:name="_Hlt16619350"/>
      <w:r>
        <w:rPr>
          <w:highlight w:val="none"/>
        </w:rPr>
      </w:r>
      <w:bookmarkStart w:id="293" w:name="_Toc20823346"/>
      <w:r>
        <w:rPr>
          <w:highlight w:val="none"/>
        </w:rPr>
      </w:r>
      <w:bookmarkStart w:id="294" w:name="_Toc16938590"/>
      <w:r>
        <w:rPr>
          <w:highlight w:val="none"/>
        </w:rPr>
      </w:r>
      <w:bookmarkStart w:id="295" w:name="_Toc479757211"/>
      <w:r>
        <w:rPr>
          <w:highlight w:val="none"/>
        </w:rPr>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highlight w:val="none"/>
        </w:rP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rPr>
          <w:highlight w:val="none"/>
        </w:rPr>
      </w:r>
    </w:p>
    <w:p>
      <w:pPr>
        <w:numPr>
          <w:ilvl w:val="0"/>
          <w:numId w:val="0"/>
        </w:numPr>
        <w:ind w:firstLine="880"/>
        <w:jc w:val="center"/>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End w:id="291"/>
      <w:r>
        <w:rPr>
          <w:highlight w:val="none"/>
        </w:rPr>
      </w:r>
      <w:bookmarkEnd w:id="292"/>
      <w:r>
        <w:rPr>
          <w:highlight w:val="none"/>
        </w:rPr>
      </w:r>
      <w:bookmarkEnd w:id="293"/>
      <w:r>
        <w:rPr>
          <w:highlight w:val="none"/>
        </w:rPr>
      </w:r>
      <w:bookmarkEnd w:id="294"/>
      <w:r>
        <w:rPr>
          <w:highlight w:val="none"/>
        </w:rPr>
      </w:r>
      <w:bookmarkStart w:id="297" w:name="_Toc8698"/>
      <w:r>
        <w:rPr>
          <w:highlight w:val="none"/>
        </w:rPr>
      </w:r>
      <w:bookmarkStart w:id="298" w:name="_Toc29035"/>
      <w:r>
        <w:rPr>
          <w:highlight w:val="none"/>
        </w:rPr>
      </w:r>
      <w:bookmarkStart w:id="299" w:name="_Toc15989"/>
      <w:r>
        <w:rPr>
          <w:highlight w:val="none"/>
        </w:rPr>
      </w:r>
      <w:bookmarkStart w:id="300" w:name="_Toc23644"/>
      <w:r>
        <w:rPr>
          <w:highlight w:val="none"/>
        </w:rPr>
      </w:r>
      <w:bookmarkStart w:id="301" w:name="_Toc3461"/>
      <w:r>
        <w:rPr>
          <w:highlight w:val="none"/>
        </w:rPr>
      </w:r>
      <w:bookmarkStart w:id="302" w:name="_Toc25986"/>
      <w:r>
        <w:rPr>
          <w:highlight w:val="none"/>
        </w:rPr>
      </w:r>
      <w:bookmarkStart w:id="303" w:name="_Toc19544"/>
      <w:r>
        <w:rPr>
          <w:highlight w:val="none"/>
        </w:rPr>
      </w:r>
      <w:bookmarkStart w:id="304" w:name="_Toc3179"/>
      <w:r>
        <w:rPr>
          <w:highlight w:val="none"/>
        </w:rPr>
      </w:r>
      <w:bookmarkStart w:id="305" w:name="_Toc26554093"/>
      <w:r>
        <w:rPr>
          <w:highlight w:val="none"/>
        </w:rPr>
      </w:r>
      <w:bookmarkStart w:id="306" w:name="_Toc49090575"/>
      <w:r>
        <w:rPr>
          <w:highlight w:val="none"/>
        </w:rPr>
      </w:r>
      <w:bookmarkStart w:id="307" w:name="_Toc120614281"/>
      <w:r>
        <w:rPr>
          <w:rFonts w:hint="eastAsia" w:ascii="黑体" w:hAnsi="Arial" w:eastAsia="黑体" w:cs="Arial"/>
          <w:b/>
          <w:bCs/>
          <w:color w:val="auto"/>
          <w:sz w:val="44"/>
          <w:szCs w:val="44"/>
          <w:highlight w:val="none"/>
          <w:lang w:val="en-US" w:eastAsia="zh-CN" w:bidi="ar-SA"/>
        </w:rPr>
        <w:t xml:space="preserve">第三章 </w:t>
      </w:r>
      <w:r>
        <w:rPr>
          <w:rFonts w:hint="eastAsia" w:ascii="黑体" w:hAnsi="Arial" w:eastAsia="黑体" w:cs="Arial"/>
          <w:b/>
          <w:bCs/>
          <w:color w:val="auto"/>
          <w:sz w:val="44"/>
          <w:szCs w:val="44"/>
          <w:highlight w:val="none"/>
        </w:rPr>
        <w:t xml:space="preserve">采购需求</w:t>
      </w:r>
      <w:bookmarkEnd w:id="297"/>
      <w:r>
        <w:rPr>
          <w:highlight w:val="none"/>
        </w:rPr>
      </w:r>
      <w:bookmarkEnd w:id="298"/>
      <w:r>
        <w:rPr>
          <w:highlight w:val="none"/>
        </w:rPr>
      </w:r>
      <w:bookmarkEnd w:id="299"/>
      <w:r>
        <w:rPr>
          <w:highlight w:val="none"/>
        </w:rPr>
      </w:r>
      <w:bookmarkEnd w:id="300"/>
      <w:r>
        <w:rPr>
          <w:highlight w:val="none"/>
        </w:rPr>
      </w:r>
      <w:bookmarkEnd w:id="301"/>
      <w:r>
        <w:rPr>
          <w:highlight w:val="none"/>
        </w:rPr>
      </w:r>
      <w:bookmarkEnd w:id="302"/>
      <w:r>
        <w:rPr>
          <w:highlight w:val="none"/>
        </w:rPr>
      </w:r>
      <w:r>
        <w:rPr>
          <w:highlight w:val="none"/>
        </w:rPr>
      </w:r>
    </w:p>
    <w:p>
      <w:pPr>
        <w:numPr>
          <w:ilvl w:val="0"/>
          <w:numId w:val="0"/>
        </w:num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需求说明：</w:t>
      </w:r>
      <w:r>
        <w:rPr>
          <w:highlight w:val="none"/>
        </w:rPr>
      </w:r>
    </w:p>
    <w:p>
      <w:pPr>
        <w:ind w:firstLine="42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在制作投标文件时仔细研究项目需求说明。</w:t>
      </w:r>
      <w:r>
        <w:rPr>
          <w:highlight w:val="none"/>
        </w:rPr>
      </w:r>
    </w:p>
    <w:p>
      <w:pPr>
        <w:ind w:firstLine="42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项目需求包括技术要求和商务要求：</w:t>
      </w:r>
      <w:r>
        <w:rPr>
          <w:highlight w:val="none"/>
        </w:rPr>
      </w:r>
    </w:p>
    <w:p>
      <w:pPr>
        <w:ind w:firstLine="422"/>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技术要求是指对采购标的功能和质量要求，包括性能、材料、结构、外观、安全，或者服务内容和标准等；</w:t>
      </w:r>
      <w:r>
        <w:rPr>
          <w:highlight w:val="none"/>
        </w:rPr>
      </w:r>
    </w:p>
    <w:p>
      <w:pPr>
        <w:ind w:firstLine="422"/>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rPr>
          <w:highlight w:val="none"/>
        </w:rPr>
      </w:r>
    </w:p>
    <w:p>
      <w:pPr>
        <w:ind w:firstLine="422"/>
        <w:rPr>
          <w:rFonts w:ascii="宋体" w:hAnsi="宋体" w:eastAsia="宋体" w:cs="宋体"/>
          <w:b/>
          <w:bCs/>
          <w:color w:val="auto"/>
          <w:szCs w:val="21"/>
          <w:highlight w:val="none"/>
        </w:rPr>
      </w:pP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不能简单照搬照抄招标文件项目需求说明中的技术、商务要求，必须实事求是地响应。如</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提供的货物和服务同采购人提出的项目需求说明中的技术、商务要求不同的，必须在《技术/商务部分正负偏离表》上明示。</w:t>
      </w:r>
      <w:r>
        <w:rPr>
          <w:highlight w:val="none"/>
        </w:rPr>
      </w:r>
    </w:p>
    <w:p>
      <w:pPr>
        <w:rPr>
          <w:rFonts w:ascii="宋体" w:hAnsi="宋体" w:eastAsia="宋体" w:cs="宋体"/>
          <w:b/>
          <w:bCs/>
          <w:color w:val="auto"/>
          <w:szCs w:val="21"/>
          <w:highlight w:val="none"/>
        </w:rPr>
      </w:pPr>
      <w:r>
        <w:rPr>
          <w:rFonts w:ascii="宋体" w:hAnsi="宋体" w:eastAsia="宋体" w:cs="宋体"/>
          <w:b/>
          <w:bCs/>
          <w:color w:val="auto"/>
          <w:szCs w:val="21"/>
          <w:highlight w:val="none"/>
        </w:rPr>
      </w:r>
      <w:r>
        <w:rPr>
          <w:highlight w:val="none"/>
        </w:rP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eastAsia="宋体" w:cs="宋体"/>
          <w:b/>
          <w:bCs/>
          <w:color w:val="auto"/>
          <w:sz w:val="24"/>
          <w:szCs w:val="24"/>
          <w:highlight w:val="none"/>
          <w:lang w:eastAsia="zh-CN"/>
        </w:rPr>
        <w:t xml:space="preserve">南通市第二人民医院无创脑深部神经电刺激系统采购项目</w:t>
      </w:r>
      <w:r>
        <w:rPr>
          <w:rFonts w:hint="eastAsia" w:ascii="宋体" w:hAnsi="宋体" w:eastAsia="宋体" w:cs="宋体"/>
          <w:b/>
          <w:bCs/>
          <w:color w:val="auto"/>
          <w:sz w:val="24"/>
          <w:szCs w:val="24"/>
          <w:highlight w:val="none"/>
        </w:rPr>
        <w:t xml:space="preserve">          </w:t>
      </w:r>
      <w:r>
        <w:rPr>
          <w:highlight w:val="none"/>
        </w:rP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二、项目属性：货物（工业）</w:t>
      </w:r>
      <w:r>
        <w:rPr>
          <w:highlight w:val="none"/>
        </w:rP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p>
    <w:p>
      <w:pPr>
        <w:numPr>
          <w:ilvl w:val="0"/>
          <w:numId w:val="1"/>
        </w:num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落实政府采购政策需满足的要求：</w:t>
      </w:r>
      <w:r>
        <w:rPr>
          <w:highlight w:val="none"/>
        </w:rPr>
      </w:r>
    </w:p>
    <w:p>
      <w:pPr>
        <w:pStyle w:val="1100"/>
        <w:numPr>
          <w:ilvl w:val="0"/>
          <w:numId w:val="0"/>
        </w:num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本项目属于专门面向中小企业</w:t>
      </w:r>
      <w:r>
        <w:rPr>
          <w:rFonts w:hint="eastAsia" w:ascii="宋体" w:hAnsi="宋体" w:eastAsia="宋体" w:cs="宋体"/>
          <w:color w:val="auto"/>
          <w:sz w:val="24"/>
          <w:szCs w:val="24"/>
          <w:highlight w:val="none"/>
        </w:rPr>
        <w:t xml:space="preserve">（或监狱企业或残疾人福利性单位）采购的项目，不再执行《政府采购促进中小企业发展管理办法》《关于政府采购支持监狱企业发展有关问题的通知》《关于促进残疾人就业政府采购政策的通知》等价格扣除优惠政策。依据工业和信息化部等四部委制定的《中小企业划型标准规定》，本项目对应的中小企业划分标准所属行业为货物（工业）。</w:t>
      </w:r>
      <w:r>
        <w:rPr>
          <w:highlight w:val="none"/>
        </w:rP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四、需求一览表</w:t>
      </w:r>
      <w:r>
        <w:rPr>
          <w:highlight w:val="none"/>
        </w:rPr>
      </w:r>
    </w:p>
    <w:tbl>
      <w:tblPr>
        <w:tblStyle w:val="1080"/>
        <w:tblpPr w:horzAnchor="page" w:tblpXSpec="center" w:vertAnchor="text" w:tblpY="98" w:leftFromText="180" w:topFromText="0" w:rightFromText="180" w:bottomFromText="0"/>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201"/>
        <w:gridCol w:w="900"/>
        <w:gridCol w:w="1000"/>
        <w:gridCol w:w="1567"/>
        <w:gridCol w:w="1358"/>
      </w:tblGrid>
      <w:tr>
        <w:trPr>
          <w:jc w:val="center"/>
          <w:trHeight w:val="566"/>
        </w:trPr>
        <w:tc>
          <w:tcPr>
            <w:tcW w:w="72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highlight w:val="none"/>
              </w:rPr>
            </w:r>
          </w:p>
        </w:tc>
        <w:tc>
          <w:tcPr>
            <w:tcW w:w="320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名称</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标的</w:t>
            </w:r>
            <w:r>
              <w:rPr>
                <w:rFonts w:hint="eastAsia" w:ascii="宋体" w:hAnsi="宋体" w:cs="宋体"/>
                <w:b/>
                <w:color w:val="auto"/>
                <w:sz w:val="24"/>
                <w:szCs w:val="24"/>
                <w:highlight w:val="none"/>
                <w:lang w:eastAsia="zh-CN"/>
              </w:rPr>
              <w:t xml:space="preserve">）</w:t>
            </w:r>
            <w:r>
              <w:rPr>
                <w:highlight w:val="none"/>
              </w:rPr>
            </w:r>
          </w:p>
        </w:tc>
        <w:tc>
          <w:tcPr>
            <w:tcW w:w="9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rPr>
                <w:highlight w:val="none"/>
              </w:rPr>
            </w:r>
          </w:p>
        </w:tc>
        <w:tc>
          <w:tcPr>
            <w:tcW w:w="100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质保期</w:t>
            </w:r>
            <w:r>
              <w:rPr>
                <w:highlight w:val="none"/>
              </w:rPr>
            </w:r>
          </w:p>
        </w:tc>
        <w:tc>
          <w:tcPr>
            <w:tcW w:w="15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rPr>
                <w:highlight w:val="none"/>
              </w:rPr>
            </w:r>
          </w:p>
        </w:tc>
        <w:tc>
          <w:tcPr>
            <w:tcW w:w="13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是否接受进口产品</w:t>
            </w:r>
            <w:r>
              <w:rPr>
                <w:highlight w:val="none"/>
              </w:rPr>
            </w:r>
          </w:p>
        </w:tc>
      </w:tr>
      <w:tr>
        <w:trPr>
          <w:jc w:val="center"/>
          <w:trHeight w:val="661"/>
        </w:trPr>
        <w:tc>
          <w:tcPr>
            <w:tcW w:w="72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highlight w:val="none"/>
              </w:rPr>
            </w:r>
          </w:p>
        </w:tc>
        <w:tc>
          <w:tcPr>
            <w:tcW w:w="320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无创脑深部神经电刺激系统</w:t>
            </w:r>
            <w:r>
              <w:rPr>
                <w:highlight w:val="none"/>
              </w:rPr>
            </w:r>
          </w:p>
        </w:tc>
        <w:tc>
          <w:tcPr>
            <w:tcW w:w="90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套</w:t>
            </w:r>
            <w:r>
              <w:rPr>
                <w:highlight w:val="none"/>
              </w:rPr>
            </w:r>
          </w:p>
        </w:tc>
        <w:tc>
          <w:tcPr>
            <w:tcW w:w="100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2年</w:t>
            </w:r>
            <w:r>
              <w:rPr>
                <w:highlight w:val="none"/>
              </w:rPr>
            </w:r>
          </w:p>
        </w:tc>
        <w:tc>
          <w:tcPr>
            <w:tcW w:w="156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是</w:t>
            </w:r>
            <w:r>
              <w:rPr>
                <w:highlight w:val="none"/>
              </w:rPr>
            </w:r>
          </w:p>
        </w:tc>
        <w:tc>
          <w:tcPr>
            <w:tcW w:w="135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否</w:t>
            </w:r>
            <w:r>
              <w:rPr>
                <w:highlight w:val="none"/>
              </w:rPr>
            </w:r>
          </w:p>
        </w:tc>
      </w:tr>
    </w:tbl>
    <w:p>
      <w:pPr>
        <w:ind w:firstLine="42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r>
      <w:r>
        <w:rPr>
          <w:highlight w:val="none"/>
        </w:rPr>
      </w:r>
    </w:p>
    <w:p>
      <w:pPr>
        <w:ind w:firstLine="422"/>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注：本项目采购的设备仅用于非临床的科学研究、方法学开发、技术验证或教学演示，不用于任何形式的疾病诊断、治疗、预防或健康监测等医疗活动。</w:t>
      </w:r>
      <w:r>
        <w:rPr>
          <w:highlight w:val="none"/>
        </w:rPr>
      </w:r>
    </w:p>
    <w:p>
      <w:pPr>
        <w:ind w:firstLine="42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r>
      <w:r>
        <w:rPr>
          <w:highlight w:val="none"/>
        </w:rPr>
      </w:r>
    </w:p>
    <w:p>
      <w:pPr>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4"/>
          <w:highlight w:val="none"/>
        </w:rPr>
        <w:t xml:space="preserve">五、技术要求</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刺激器技术参数</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刺激方式：至少需包含经颅时间干涉刺激、经颅交流电刺激、经颅直流电刺激等刺激方式；</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波形类型：包括正弦波、三角波、双向脉冲波，可使用可编程范式进行任意波形设定；</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刺激电流：可在刺激中调节电流，时间干涉刺激的恒流输出范围不低于0.01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5mA，精度≤10uA，步进≤10uA；（提供视频截图佐证）</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输出电压：最大输出电压峰峰值≤70V；</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刺激阻抗：时间干涉刺激时阻抗≤10kΩ，显示最小负载≤0.01 kΩ，允差≤±10%；</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刺激前阻抗检测功能：检测精度≤10%；</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刺激中实时阻抗检测功能：检测精度10%，具备过载保护功能，阻抗≥20 kΩ时自动断路；</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系统启动时长≤1分钟（从启动按钮按下开始计算，包括系统自检时间）；</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启动/停止刺激延时≤500ms；</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经颅时间干涉刺激每对电极正反相位输出无相位偏移；</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电极材料：Ag-AgC1 电极；</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刺激电极阻抗：接触阻抗（使用导电膏后）≤10 kΩ。</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刺激治疗脑电帽：环形电极托可固定在电极帽上的孔中，电极帽固定点数量≥72；</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脑电帽形变幅度：拉伸变形，拉伸度≤0.5cm；</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经颅时间干涉刺激刺激同时可开启的输出通道数≥8，可同时进行≥四组时间干涉刺激；</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每个通道频率/电流幅度独立可调；</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具有独立供电和电池供电两种模式，电池工作续航≥8小时；</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具有可编程刺激范式，刺激过程中实时调整频率、电流幅度、刺激间隔；                </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可预置电极导联数量≥72导联；</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具有刺激电流缓升/缓降功能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缓升/缓降时间在0-300s内；</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具有单、双伪刺激</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具有预刺激；</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提供针对经颅时间干涉刺激的个性化人脑模型正向、逆向算法，电场计算头模型建模时长≤0.5小时；正向、逆向计算时长≤5分钟；</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提供针对经颅时间干涉刺激的动物颅脑模型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以及个性化电极定位的正向、逆向算法，正向、逆向计算时长≤5分钟；</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具有cTIBS（连续TI Burst刺激模式）和iTIBS（间歇TI Burst刺激模式）；每个Burst序列时长设置范围[0.05 s, 1 s]，最大误差≤1％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每个Burst序列包络数量[1, 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两个通道输出相位偏移180°±0°；（提供视频截图佐证）</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主要配置至少包含：</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刺激器主机：1台</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算法与主机控制软件：1套</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主机电源适配器：1个</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电极适配器连接线：不少于1根</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电极适配器：2个</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主机电池：1个</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电极线：不少于12根</w:t>
      </w:r>
      <w:r>
        <w:rPr>
          <w:highlight w:val="none"/>
        </w:rP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电极帽：不少于10个</w:t>
      </w:r>
      <w:r>
        <w:rPr>
          <w:highlight w:val="none"/>
        </w:rP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六、商务要求</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1.交货要求</w:t>
      </w:r>
      <w:r>
        <w:rPr>
          <w:highlight w:val="none"/>
        </w:rPr>
      </w:r>
    </w:p>
    <w:p>
      <w:pPr>
        <w:numPr>
          <w:ilvl w:val="1"/>
          <w:numId w:val="0"/>
        </w:num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交货期：合同签订后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天内交货</w:t>
      </w:r>
      <w:r>
        <w:rPr>
          <w:highlight w:val="none"/>
        </w:rPr>
      </w:r>
    </w:p>
    <w:p>
      <w:pPr>
        <w:numPr>
          <w:ilvl w:val="1"/>
          <w:numId w:val="0"/>
        </w:num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交货地点：南通市第二人民医院指定地点</w:t>
      </w:r>
      <w:r>
        <w:rPr>
          <w:highlight w:val="none"/>
        </w:rPr>
      </w:r>
    </w:p>
    <w:p>
      <w:pPr>
        <w:ind w:left="425"/>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2.1本项目履约保证金为项目成交金额的</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中标人须</w:t>
      </w:r>
      <w:r>
        <w:rPr>
          <w:rFonts w:hint="eastAsia" w:ascii="宋体" w:hAnsi="宋体" w:eastAsia="宋体" w:cs="宋体"/>
          <w:color w:val="auto"/>
          <w:sz w:val="24"/>
          <w:szCs w:val="24"/>
          <w:highlight w:val="none"/>
          <w:u w:val="single"/>
        </w:rPr>
        <w:t xml:space="preserve">在中标通知书发出之日起7个工作日内</w:t>
      </w:r>
      <w:r>
        <w:rPr>
          <w:rFonts w:hint="eastAsia" w:ascii="宋体" w:hAnsi="宋体" w:eastAsia="宋体" w:cs="宋体"/>
          <w:color w:val="auto"/>
          <w:sz w:val="24"/>
          <w:szCs w:val="24"/>
          <w:highlight w:val="none"/>
        </w:rPr>
        <w:t xml:space="preserve">汇入采购单位账户（可以数字人民币、支票、汇票或者金融机构、担保机构出具的保函等非现金形式提交）。</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2.2中标人全部履行合同义务，经采购单位验收合格无质量、进度等问题的，</w:t>
      </w:r>
      <w:r>
        <w:rPr>
          <w:rFonts w:hint="eastAsia" w:ascii="宋体" w:hAnsi="宋体" w:eastAsia="宋体" w:cs="宋体"/>
          <w:color w:val="auto"/>
          <w:sz w:val="24"/>
          <w:szCs w:val="24"/>
          <w:highlight w:val="none"/>
        </w:rPr>
        <w:t xml:space="preserve">采购人在验收合格后</w:t>
      </w:r>
      <w:r>
        <w:rPr>
          <w:rFonts w:hint="eastAsia" w:ascii="宋体" w:hAnsi="宋体" w:cs="宋体"/>
          <w:color w:val="auto"/>
          <w:sz w:val="24"/>
          <w:szCs w:val="24"/>
          <w:highlight w:val="none"/>
          <w:lang w:val="en-US" w:eastAsia="zh-CN"/>
        </w:rPr>
        <w:t xml:space="preserve">7个工作日内</w:t>
      </w:r>
      <w:r>
        <w:rPr>
          <w:rFonts w:hint="eastAsia" w:ascii="宋体" w:hAnsi="宋体" w:eastAsia="宋体" w:cs="宋体"/>
          <w:color w:val="auto"/>
          <w:sz w:val="24"/>
          <w:szCs w:val="24"/>
          <w:highlight w:val="none"/>
        </w:rPr>
        <w:t xml:space="preserve">一次性退还履约保证金</w:t>
      </w:r>
      <w:r>
        <w:rPr>
          <w:rFonts w:hint="eastAsia" w:ascii="宋体" w:hAnsi="宋体" w:eastAsia="宋体" w:cs="宋体"/>
          <w:color w:val="auto"/>
          <w:sz w:val="24"/>
          <w:szCs w:val="24"/>
          <w:highlight w:val="none"/>
        </w:rPr>
        <w:t xml:space="preserve">，采购人若逾期退还履约保证金的，按照逾期部分的每日0.05%支付违约金；</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2.3对政府采购信用档案中无不良记录的中小企业免收履约保证金。    </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2.4发生以下情况的，履约保证金不予退还或部分退还：</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2.4.1中标人未在成交通知书发出后30日内与采购单位签订合同，且未给出合理解释。</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2.4.2签订合同后，中标人不履行合同义务的，采购单位有权全额扣除履约保证金，全额不予退还，同时采购单位亦有权终止合同，中标人还须承担相应的法律赔偿责任。</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2.4.3中标人在履约过程中发生违约行为，给采购单位造成损失的，采购单位有权在中标人缴纳的履约保证金中予以扣款，以弥补采购单位经济损失，不足的部分中标人另外补齐。</w:t>
      </w:r>
      <w:r>
        <w:rPr>
          <w:highlight w:val="none"/>
        </w:rPr>
      </w:r>
    </w:p>
    <w:p>
      <w:pPr>
        <w:ind w:left="425"/>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付款方式</w:t>
      </w:r>
      <w:r>
        <w:rPr>
          <w:highlight w:val="none"/>
        </w:rPr>
      </w:r>
    </w:p>
    <w:p>
      <w:pPr>
        <w:ind w:firstLine="240"/>
        <w:tabs>
          <w:tab w:val="left" w:pos="851" w:leader="none"/>
          <w:tab w:val="left" w:pos="1276" w:leader="none"/>
          <w:tab w:val="left" w:pos="1418"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3.1 合同签订生效后，支付合同总额的30%作为预付款，货到安装调试验收合格且按采购人要求</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技术培训、技术资料以及设备发票30天内，支付合同总额的60%；</w:t>
      </w:r>
      <w:r>
        <w:rPr>
          <w:rFonts w:hint="eastAsia" w:ascii="宋体" w:hAnsi="宋体" w:eastAsia="宋体" w:cs="宋体"/>
          <w:color w:val="auto"/>
          <w:sz w:val="24"/>
          <w:szCs w:val="24"/>
          <w:highlight w:val="none"/>
        </w:rPr>
        <w:t xml:space="preserve">前述付款满壹年后，经采购人确认在此期间中标人</w:t>
      </w:r>
      <w:r>
        <w:rPr>
          <w:rFonts w:hint="eastAsia" w:ascii="宋体" w:hAnsi="宋体" w:cs="宋体"/>
          <w:color w:val="auto"/>
          <w:sz w:val="24"/>
          <w:szCs w:val="24"/>
          <w:highlight w:val="none"/>
          <w:lang w:eastAsia="zh-CN"/>
        </w:rPr>
        <w:t xml:space="preserve">无其他</w:t>
      </w:r>
      <w:r>
        <w:rPr>
          <w:rFonts w:hint="eastAsia" w:ascii="宋体" w:hAnsi="宋体" w:eastAsia="宋体" w:cs="宋体"/>
          <w:color w:val="auto"/>
          <w:sz w:val="24"/>
          <w:szCs w:val="24"/>
          <w:highlight w:val="none"/>
        </w:rPr>
        <w:t xml:space="preserve">违约事项后支付余款。付款方式为转账支付。</w:t>
      </w:r>
      <w:r>
        <w:rPr>
          <w:highlight w:val="none"/>
        </w:rPr>
      </w:r>
    </w:p>
    <w:p>
      <w:pPr>
        <w:ind w:firstLine="2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发票不得由第三方代开，中标人未提供合法票据的，采购人有权拒绝支付合同款项，产生的损失由中标人承担。</w:t>
      </w:r>
      <w:r>
        <w:rPr>
          <w:highlight w:val="none"/>
        </w:rPr>
      </w:r>
    </w:p>
    <w:p>
      <w:pPr>
        <w:pStyle w:val="11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240"/>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包装和运输</w:t>
      </w:r>
      <w:r>
        <w:rPr>
          <w:highlight w:val="none"/>
        </w:rPr>
      </w:r>
    </w:p>
    <w:p>
      <w:pPr>
        <w:ind w:firstLine="240"/>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提供的全部货物均按标准保护措施进行包装。该包装应适应于远距离运输、防潮、防震、防锈和防野蛮装卸，以确保货物安全无损运抵上述交货地点。由于包装不善所引起的货物锈蚀、损坏和损失均由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w:t>
      </w:r>
      <w:r>
        <w:rPr>
          <w:highlight w:val="none"/>
        </w:rPr>
      </w:r>
    </w:p>
    <w:p>
      <w:pPr>
        <w:ind w:firstLine="240"/>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每件包装箱内应附一份详细装箱单和质量合格标识。</w:t>
      </w:r>
      <w:r>
        <w:rPr>
          <w:highlight w:val="none"/>
        </w:rPr>
      </w:r>
    </w:p>
    <w:p>
      <w:pPr>
        <w:ind w:firstLine="240"/>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4.3 专用工具及备品备件应分别包装，并在包装箱外加以注明其用处。</w:t>
      </w:r>
      <w:r>
        <w:rPr>
          <w:highlight w:val="none"/>
        </w:rPr>
      </w:r>
    </w:p>
    <w:p>
      <w:pPr>
        <w:ind w:firstLine="240"/>
        <w:tabs>
          <w:tab w:val="left" w:pos="851" w:leader="none"/>
          <w:tab w:val="left" w:pos="1276" w:leader="none"/>
          <w:tab w:val="left" w:pos="1418"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4.4 </w:t>
      </w:r>
      <w:r>
        <w:rPr>
          <w:rFonts w:hint="eastAsia" w:ascii="宋体" w:hAnsi="宋体" w:eastAsia="宋体" w:cs="宋体"/>
          <w:bCs/>
          <w:color w:val="auto"/>
          <w:sz w:val="24"/>
          <w:szCs w:val="24"/>
          <w:highlight w:val="none"/>
        </w:rPr>
        <w:t xml:space="preserve">设备（货物）的装卸、就位均由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负责。</w:t>
      </w:r>
      <w:r>
        <w:rPr>
          <w:highlight w:val="none"/>
        </w:rPr>
      </w:r>
    </w:p>
    <w:p>
      <w:pPr>
        <w:ind w:firstLine="240"/>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对于投标产品的包装应按照“财办库〔2020〕123号《关于印发《商品包装政府采购需求标准（试行）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快递包装政府采购需求标准（试行）》的通知》”执行。</w:t>
      </w:r>
      <w:r>
        <w:rPr>
          <w:highlight w:val="none"/>
        </w:rPr>
      </w:r>
    </w:p>
    <w:p>
      <w:pPr>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240"/>
        <w:tabs>
          <w:tab w:val="left" w:pos="6660" w:leader="none"/>
        </w:tabs>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安装和验收</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 </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确保设备安全无损地运抵采购人指定现场，并承担设备的运费、保险费、装卸费等费用。</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派出的安装人员应具备相关的专业知识、技术水平、相应资质和能力，熟悉本合同所述货物的规格、技术指标及安装工艺，有足够能力安装本合同的货物并使之达到本合同要求。</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 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提供的设备设有维修软件密码，应保证无条件地为采购人永久免费打开。</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 设备安装、调试、培训结束，采购人对设备试用后进行验收（时间由双方商定），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免费派工程师到达现场协助验收工作，填好相应的安装、调试、培训及验收等相关表格并签字。</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 </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提供设备安装和维修所需的专业工具和辅助材料。</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5.6验收标准：现行国家/行业标准，企业标准及上述技术规格。</w:t>
      </w:r>
      <w:r>
        <w:rPr>
          <w:highlight w:val="none"/>
        </w:rPr>
      </w:r>
    </w:p>
    <w:p>
      <w:pPr>
        <w:pStyle w:val="1102"/>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ind w:firstLine="240"/>
        <w:tabs>
          <w:tab w:val="left" w:pos="666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技术培训</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 在安装过程中或安装结束后，</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工程师或有关人员有义务对采购人用户单位工程师和操作人员进行现场维修、保养、操作培训，解答用户单位人员提出的问题。</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 </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应派专业技术人员在现场对采购人医院使用人员进行培训指导，在使用一段时间后可根据医院及科室的要求另行安排培训计划。</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提供设备的使用说明和相关要求及注意事项，协助采购人制定设备操作规程。</w:t>
      </w:r>
      <w:r>
        <w:rPr>
          <w:highlight w:val="none"/>
        </w:rPr>
      </w:r>
    </w:p>
    <w:p>
      <w:pPr>
        <w:ind w:firstLine="420"/>
        <w:spacing w:line="276" w:lineRule="auto"/>
        <w:tabs>
          <w:tab w:val="left" w:pos="4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spacing w:line="276" w:lineRule="auto"/>
        <w:tabs>
          <w:tab w:val="left" w:pos="48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质保期</w:t>
      </w:r>
      <w:r>
        <w:rPr>
          <w:highlight w:val="none"/>
        </w:rPr>
      </w:r>
    </w:p>
    <w:p>
      <w:pPr>
        <w:ind w:firstLine="422"/>
        <w:spacing w:line="276"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u w:val="single"/>
        </w:rPr>
        <w:t xml:space="preserve">上述设备免费原厂质保两年，</w:t>
      </w:r>
      <w:r>
        <w:rPr>
          <w:rFonts w:hint="eastAsia" w:ascii="宋体" w:hAnsi="宋体" w:eastAsia="宋体" w:cs="宋体"/>
          <w:b/>
          <w:color w:val="auto"/>
          <w:sz w:val="24"/>
          <w:szCs w:val="24"/>
          <w:highlight w:val="none"/>
          <w:u w:val="single"/>
        </w:rPr>
        <w:t xml:space="preserve">包含但不限于各类导联线、探头等本项目配套提供的所有附件（不包含医用耗材）</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设备验收时须提供有效的质保证明材料</w:t>
      </w:r>
      <w:r>
        <w:rPr>
          <w:rFonts w:hint="eastAsia" w:ascii="宋体" w:hAnsi="宋体" w:cs="宋体"/>
          <w:b/>
          <w:color w:val="auto"/>
          <w:sz w:val="24"/>
          <w:szCs w:val="24"/>
          <w:highlight w:val="none"/>
          <w:u w:val="single"/>
          <w:lang w:eastAsia="zh-CN"/>
        </w:rPr>
        <w:t xml:space="preserve">；在</w:t>
      </w:r>
      <w:r>
        <w:rPr>
          <w:rFonts w:hint="eastAsia" w:ascii="宋体" w:hAnsi="宋体" w:eastAsia="宋体" w:cs="宋体"/>
          <w:bCs/>
          <w:color w:val="auto"/>
          <w:sz w:val="24"/>
          <w:szCs w:val="24"/>
          <w:highlight w:val="none"/>
        </w:rPr>
        <w:t xml:space="preserve">质保期内按说明书要求提供保养服务（每年不少于2次），并承担保养需要的所有消耗品（不含一次性医用耗材）、易损件等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应按生产厂家的保修规定和投标文件说明的服务承诺做好免费保修等服务；保修期内免收材料及人工等一切费用。保修期满后，维修方须终身提供维修服务且只收取维修材料成本费，免收其他一切费用。</w:t>
      </w:r>
      <w:r>
        <w:rPr>
          <w:highlight w:val="none"/>
        </w:rPr>
      </w:r>
    </w:p>
    <w:p>
      <w:pPr>
        <w:ind w:firstLine="420"/>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ind w:firstLine="240"/>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售后服务</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确保设备保修期内开机率为95%，如设备故障停机率超过5%（一年按365天计算，每年18天），每超过一天，保修期延长两周。</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无论在保修期内还是保修期外，中标人必须上门维修，中标人工程师至采购人指定点的维修本设备，必须事先与采购人设备耗材科取得联系，并做相应登记；在维修过程中与采购人工程师共同完成维修工作。否则引起的一切责任由中标人负责。提供质保期外全包维修服务、零配件、耗材优惠供应方案。质保期内定期对设备进行免费保养和维护，提供终身维护和保养服务（请提供技术援助电话和售后服务电话）。</w:t>
      </w:r>
      <w:r>
        <w:rPr>
          <w:rFonts w:hint="eastAsia" w:ascii="宋体" w:hAnsi="宋体" w:eastAsia="宋体" w:cs="宋体"/>
          <w:bCs/>
          <w:color w:val="auto"/>
          <w:sz w:val="24"/>
          <w:szCs w:val="24"/>
          <w:highlight w:val="none"/>
          <w:lang w:val="en-US" w:eastAsia="zh-CN"/>
        </w:rPr>
        <w:t xml:space="preserve"> </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在安装过程中或安装结束后，中标人工程师或有关人员有义务对采购人工程师和操作人员进行现场维修、保养、操作培训并提供快捷操作指南（过塑封好，挂在设备上），解答采购人提出的问题。必要时提供正规培训班培训，确保操作人员掌握完成日常工作所需的基本操作方法为止，工程师掌握基本的维护保养操作技术为止。并负责承担一切费用。</w:t>
      </w:r>
      <w:r>
        <w:rPr>
          <w:highlight w:val="none"/>
        </w:rPr>
      </w:r>
    </w:p>
    <w:p>
      <w:pPr>
        <w:pStyle w:val="1102"/>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8.4中标人</w:t>
      </w:r>
      <w:r>
        <w:rPr>
          <w:rFonts w:hint="eastAsia" w:ascii="宋体" w:hAnsi="宋体" w:cs="宋体"/>
          <w:bCs/>
          <w:color w:val="auto"/>
          <w:sz w:val="24"/>
          <w:szCs w:val="24"/>
          <w:highlight w:val="none"/>
          <w:lang w:eastAsia="zh-CN"/>
        </w:rPr>
        <w:t xml:space="preserve">接到</w:t>
      </w:r>
      <w:r>
        <w:rPr>
          <w:rFonts w:hint="eastAsia" w:ascii="宋体" w:hAnsi="宋体" w:eastAsia="宋体" w:cs="宋体"/>
          <w:bCs/>
          <w:color w:val="auto"/>
          <w:sz w:val="24"/>
          <w:szCs w:val="24"/>
          <w:highlight w:val="none"/>
        </w:rPr>
        <w:t xml:space="preserve">故障通知半小时内响应，一般问题在4小时内解决；遇到大的问题，3小时内派技术人员到达现场维修。</w:t>
      </w:r>
      <w:r>
        <w:rPr>
          <w:highlight w:val="none"/>
        </w:rPr>
      </w:r>
    </w:p>
    <w:p>
      <w:pPr>
        <w:ind w:firstLine="42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numPr>
          <w:ilvl w:val="0"/>
          <w:numId w:val="2"/>
        </w:numPr>
        <w:ind w:firstLine="24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资料、备件及其他</w:t>
      </w:r>
      <w:r>
        <w:rPr>
          <w:highlight w:val="none"/>
        </w:rPr>
      </w:r>
    </w:p>
    <w:p>
      <w:pPr>
        <w:numPr>
          <w:ilvl w:val="0"/>
          <w:numId w:val="0"/>
        </w:numPr>
        <w:ind w:firstLine="24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资料：中标人需在交货后五个工作日内免费提供全套资料，含产品合格证（国产设备）、出厂计量合格证（强检设备）、操作手册、维修手册（含详细电路图）、如技术资料不全，采购人有权不支付货款或退货，因此产生的损失由中标人自行承担。</w:t>
      </w:r>
      <w:r>
        <w:rPr>
          <w:highlight w:val="none"/>
        </w:rPr>
      </w:r>
    </w:p>
    <w:p>
      <w:pPr>
        <w:numPr>
          <w:ilvl w:val="0"/>
          <w:numId w:val="0"/>
        </w:numPr>
        <w:ind w:firstLine="24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9.2若设备无法在规定时间完成维修工作的，提供备用件。</w:t>
      </w:r>
      <w:r>
        <w:rPr>
          <w:highlight w:val="none"/>
        </w:rPr>
      </w:r>
    </w:p>
    <w:p>
      <w:pPr>
        <w:numPr>
          <w:ilvl w:val="0"/>
          <w:numId w:val="0"/>
        </w:numPr>
        <w:ind w:firstLine="24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投标产品必须是整套全新的符合国家有关质量标准制造，满足本项目需求的技术指标的设备。否则，采购人有权解除合同，同时报有关监督管理部门处理备案，由此造成采购人的经济损失由中标人全部承担赔偿。</w:t>
      </w:r>
      <w:r>
        <w:rPr>
          <w:highlight w:val="none"/>
        </w:rPr>
      </w:r>
    </w:p>
    <w:p>
      <w:pPr>
        <w:ind w:firstLine="42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七、其他说明</w:t>
      </w:r>
      <w:r>
        <w:rPr>
          <w:highlight w:val="none"/>
        </w:rPr>
      </w:r>
    </w:p>
    <w:p>
      <w:pPr>
        <w:ind w:firstLine="240"/>
        <w:tabs>
          <w:tab w:val="left" w:pos="851" w:leader="none"/>
          <w:tab w:val="left" w:pos="1276" w:leader="none"/>
          <w:tab w:val="left" w:pos="1418"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上述</w:t>
      </w:r>
      <w:r>
        <w:rPr>
          <w:rFonts w:hint="eastAsia" w:ascii="宋体" w:hAnsi="宋体" w:eastAsia="宋体" w:cs="宋体"/>
          <w:b/>
          <w:bCs/>
          <w:i/>
          <w:iCs/>
          <w:color w:val="auto"/>
          <w:sz w:val="24"/>
          <w:szCs w:val="24"/>
          <w:highlight w:val="none"/>
          <w:u w:val="single"/>
        </w:rPr>
        <w:t xml:space="preserve">技术要求 </w:t>
      </w:r>
      <w:r>
        <w:rPr>
          <w:rFonts w:hint="eastAsia" w:ascii="宋体" w:hAnsi="宋体" w:eastAsia="宋体" w:cs="宋体"/>
          <w:color w:val="auto"/>
          <w:sz w:val="24"/>
          <w:szCs w:val="24"/>
          <w:highlight w:val="none"/>
        </w:rPr>
        <w:t xml:space="preserve">中（如有）加注“★”符号为关键条款，关键条款不接受负偏离，否则投标无效；加注“▲”符号为重要指标，其他为一般指标。</w:t>
      </w:r>
      <w:r>
        <w:rPr>
          <w:highlight w:val="none"/>
        </w:rPr>
      </w:r>
    </w:p>
    <w:p>
      <w:pPr>
        <w:numPr>
          <w:ilvl w:val="0"/>
          <w:numId w:val="0"/>
        </w:numPr>
        <w:ind w:firstLine="24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上述商务要求不允许有任何一项负偏离，须提供《商务响应承诺函》，否则响应无效。</w:t>
      </w:r>
      <w:bookmarkEnd w:id="303"/>
      <w:r>
        <w:rPr>
          <w:highlight w:val="none"/>
        </w:rPr>
      </w:r>
      <w:bookmarkEnd w:id="304"/>
      <w:r>
        <w:rPr>
          <w:highlight w:val="none"/>
        </w:rPr>
      </w:r>
      <w:r>
        <w:rPr>
          <w:highlight w:val="none"/>
        </w:rPr>
      </w:r>
    </w:p>
    <w:p>
      <w:pPr>
        <w:rPr>
          <w:rFonts w:hint="eastAsia" w:ascii="宋体" w:hAnsi="宋体" w:eastAsia="宋体" w:cs="宋体"/>
          <w:b/>
          <w:color w:val="auto"/>
          <w:sz w:val="32"/>
          <w:szCs w:val="32"/>
          <w:highlight w:val="none"/>
        </w:rPr>
      </w:pPr>
      <w:r>
        <w:rPr>
          <w:highlight w:val="none"/>
        </w:rPr>
      </w:r>
      <w:bookmarkStart w:id="308" w:name="_Toc23805"/>
      <w:r>
        <w:rPr>
          <w:highlight w:val="none"/>
        </w:rPr>
      </w:r>
      <w:bookmarkStart w:id="309" w:name="_Toc28814"/>
      <w:r>
        <w:rPr>
          <w:highlight w:val="none"/>
        </w:rPr>
      </w:r>
      <w:bookmarkStart w:id="310" w:name="_Toc14447"/>
      <w:r>
        <w:rPr>
          <w:highlight w:val="none"/>
        </w:rPr>
      </w:r>
      <w:bookmarkStart w:id="311" w:name="_Toc28628"/>
      <w:r>
        <w:rPr>
          <w:highlight w:val="none"/>
        </w:rPr>
      </w:r>
      <w:bookmarkStart w:id="312" w:name="_Toc21058"/>
      <w:r>
        <w:rPr>
          <w:highlight w:val="none"/>
        </w:rPr>
      </w:r>
      <w:bookmarkStart w:id="313" w:name="_Toc24185"/>
      <w:r>
        <w:rPr>
          <w:rFonts w:hint="eastAsia" w:ascii="宋体" w:hAnsi="宋体" w:eastAsia="宋体" w:cs="宋体"/>
          <w:b/>
          <w:color w:val="auto"/>
          <w:sz w:val="32"/>
          <w:szCs w:val="32"/>
          <w:highlight w:val="none"/>
        </w:rPr>
        <w:br w:type="page" w:clear="all"/>
      </w:r>
      <w:r>
        <w:rPr>
          <w:highlight w:val="none"/>
        </w:rP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p>
    <w:p>
      <w:pPr>
        <w:numPr>
          <w:ilvl w:val="0"/>
          <w:numId w:val="0"/>
        </w:numPr>
        <w:jc w:val="center"/>
        <w:keepLines/>
        <w:keepNext/>
        <w:pageBreakBefore w:val="0"/>
        <w:spacing w:line="240" w:lineRule="auto"/>
        <w:rPr>
          <w:rFonts w:hint="eastAsia" w:ascii="黑体" w:hAnsi="Arial" w:eastAsia="黑体" w:cs="Arial"/>
          <w:b/>
          <w:bCs/>
          <w:color w:val="auto"/>
          <w:sz w:val="44"/>
          <w:szCs w:val="44"/>
          <w:highlight w:val="none"/>
        </w:rPr>
        <w:outlineLvl w:val="0"/>
      </w:pPr>
      <w:r>
        <w:rPr>
          <w:highlight w:val="none"/>
        </w:rPr>
      </w:r>
      <w:bookmarkStart w:id="314" w:name="_Toc2656"/>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8"/>
      <w:r>
        <w:rPr>
          <w:highlight w:val="none"/>
        </w:rPr>
      </w:r>
      <w:bookmarkEnd w:id="314"/>
      <w:r>
        <w:rPr>
          <w:highlight w:val="none"/>
        </w:rPr>
      </w:r>
      <w:r>
        <w:rPr>
          <w:highlight w:val="none"/>
        </w:rPr>
      </w:r>
    </w:p>
    <w:p>
      <w:pPr>
        <w:pStyle w:val="1084"/>
        <w:jc w:val="center"/>
        <w:pageBreakBefore w:val="0"/>
        <w:spacing w:after="0" w:line="360" w:lineRule="auto"/>
        <w:rPr>
          <w:rFonts w:hint="eastAsia" w:ascii="宋体" w:hAnsi="宋体" w:eastAsia="宋体" w:cs="宋体"/>
          <w:b/>
          <w:bCs/>
          <w:color w:val="auto"/>
          <w:spacing w:val="-20"/>
          <w:sz w:val="48"/>
          <w:szCs w:val="48"/>
          <w:highlight w:val="none"/>
        </w:rPr>
        <w:outlineLvl w:val="9"/>
      </w:pPr>
      <w:r>
        <w:rPr>
          <w:highlight w:val="none"/>
        </w:rPr>
      </w:r>
      <w:bookmarkStart w:id="315" w:name="_Toc30021"/>
      <w:r>
        <w:rPr>
          <w:highlight w:val="none"/>
        </w:rPr>
      </w:r>
      <w:r>
        <w:rPr>
          <w:highlight w:val="none"/>
        </w:rPr>
      </w:r>
    </w:p>
    <w:p>
      <w:pPr>
        <w:pStyle w:val="1084"/>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rPr>
          <w:highlight w:val="none"/>
        </w:rPr>
      </w:r>
    </w:p>
    <w:p>
      <w:pPr>
        <w:pStyle w:val="1084"/>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5"/>
      <w:r>
        <w:rPr>
          <w:highlight w:val="none"/>
        </w:rPr>
      </w:r>
      <w:r>
        <w:rPr>
          <w:highlight w:val="none"/>
        </w:rP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rPr>
          <w:highlight w:val="none"/>
        </w:rP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rPr>
          <w:highlight w:val="none"/>
        </w:rP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rPr>
          <w:highlight w:val="none"/>
        </w:rP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rPr>
          <w:highlight w:val="none"/>
        </w:rP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rPr>
          <w:highlight w:val="none"/>
        </w:rP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rPr>
          <w:highlight w:val="none"/>
        </w:rP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rPr>
          <w:highlight w:val="none"/>
        </w:rP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rPr>
          <w:highlight w:val="none"/>
        </w:rP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rPr>
          <w:highlight w:val="none"/>
        </w:rPr>
      </w:r>
    </w:p>
    <w:p>
      <w:pPr>
        <w:jc w:val="center"/>
        <w:pageBreakBefore w:val="0"/>
        <w:spacing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rPr>
          <w:highlight w:val="none"/>
        </w:rPr>
      </w:r>
    </w:p>
    <w:p>
      <w:pPr>
        <w:ind w:firstLine="42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r>
      <w:r>
        <w:rPr>
          <w:highlight w:val="none"/>
        </w:rPr>
      </w:r>
    </w:p>
    <w:p>
      <w:pPr>
        <w:ind w:firstLine="42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rPr>
          <w:highlight w:val="none"/>
        </w:rPr>
      </w:r>
    </w:p>
    <w:p>
      <w:pPr>
        <w:ind w:firstLine="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rPr>
          <w:highlight w:val="none"/>
        </w:rP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rPr>
          <w:highlight w:val="none"/>
        </w:rPr>
      </w:r>
    </w:p>
    <w:p>
      <w:pPr>
        <w:jc w:val="center"/>
        <w:pageBreakBefore w:val="0"/>
        <w:spacing w:line="360" w:lineRule="auto"/>
        <w:rPr>
          <w:rFonts w:hint="eastAsia" w:ascii="宋体" w:hAnsi="宋体" w:eastAsia="宋体" w:cs="宋体"/>
          <w:b/>
          <w:bCs/>
          <w:color w:val="auto"/>
          <w:sz w:val="28"/>
          <w:szCs w:val="28"/>
          <w:highlight w:val="none"/>
        </w:rPr>
        <w:outlineLvl w:val="1"/>
      </w:pPr>
      <w:r>
        <w:rPr>
          <w:highlight w:val="none"/>
        </w:rPr>
      </w:r>
      <w:bookmarkStart w:id="316" w:name="_Toc5843"/>
      <w:r>
        <w:rPr>
          <w:highlight w:val="none"/>
        </w:rPr>
      </w:r>
      <w:bookmarkStart w:id="317" w:name="_Toc22209"/>
      <w:r>
        <w:rPr>
          <w:rFonts w:hint="eastAsia" w:ascii="宋体" w:hAnsi="宋体" w:eastAsia="宋体" w:cs="宋体"/>
          <w:b/>
          <w:bCs/>
          <w:color w:val="auto"/>
          <w:sz w:val="28"/>
          <w:szCs w:val="28"/>
          <w:highlight w:val="none"/>
        </w:rPr>
        <w:t xml:space="preserve">第一节 政府采购合同协议书</w:t>
      </w:r>
      <w:bookmarkEnd w:id="316"/>
      <w:r>
        <w:rPr>
          <w:highlight w:val="none"/>
        </w:rPr>
      </w:r>
      <w:bookmarkEnd w:id="317"/>
      <w:r>
        <w:rPr>
          <w:highlight w:val="none"/>
        </w:rPr>
      </w:r>
      <w:r>
        <w:rPr>
          <w:highlight w:val="none"/>
        </w:rP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rPr>
          <w:highlight w:val="none"/>
        </w:rP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rPr>
          <w:highlight w:val="none"/>
        </w:rP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rPr>
          <w:highlight w:val="none"/>
        </w:rP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rPr>
          <w:highlight w:val="none"/>
        </w:rP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rPr>
          <w:highlight w:val="none"/>
        </w:rP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r>
      <w:r>
        <w:rPr>
          <w:highlight w:val="none"/>
        </w:rPr>
      </w:r>
    </w:p>
    <w:p>
      <w:pPr>
        <w:pStyle w:val="1085"/>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rPr>
          <w:highlight w:val="none"/>
        </w:rP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rPr>
          <w:highlight w:val="none"/>
        </w:rPr>
      </w:r>
      <w:bookmarkStart w:id="318" w:name="_Toc11608"/>
      <w:r>
        <w:rPr>
          <w:rFonts w:hint="eastAsia" w:ascii="宋体" w:hAnsi="宋体" w:eastAsia="宋体" w:cs="宋体"/>
          <w:b/>
          <w:color w:val="auto"/>
          <w:szCs w:val="21"/>
          <w:highlight w:val="none"/>
        </w:rPr>
        <w:t xml:space="preserve">项目信息</w:t>
      </w:r>
      <w:bookmarkEnd w:id="318"/>
      <w:r>
        <w:rPr>
          <w:highlight w:val="none"/>
        </w:rPr>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（2）采购项目编号：                                          </w:t>
      </w:r>
      <w:r>
        <w:rPr>
          <w:highlight w:val="none"/>
        </w:rP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highlight w:val="none"/>
        </w:rPr>
      </w:r>
    </w:p>
    <w:p>
      <w:pPr>
        <w:numPr>
          <w:ilvl w:val="0"/>
          <w:numId w:val="0"/>
        </w:num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highlight w:val="none"/>
        </w:rP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rPr>
          <w:highlight w:val="none"/>
        </w:rPr>
      </w:r>
    </w:p>
    <w:p>
      <w:pPr>
        <w:numPr>
          <w:ilvl w:val="0"/>
          <w:numId w:val="0"/>
        </w:numPr>
        <w:ind w:firstLine="945"/>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rPr>
          <w:highlight w:val="none"/>
        </w:rP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highlight w:val="none"/>
        </w:rPr>
      </w:r>
    </w:p>
    <w:p>
      <w:pPr>
        <w:numPr>
          <w:ilvl w:val="0"/>
          <w:numId w:val="0"/>
        </w:num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highlight w:val="none"/>
        </w:rPr>
      </w:r>
    </w:p>
    <w:p>
      <w:pPr>
        <w:pStyle w:val="1107"/>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highlight w:val="none"/>
        </w:rPr>
      </w:r>
    </w:p>
    <w:p>
      <w:pPr>
        <w:pStyle w:val="1107"/>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highlight w:val="none"/>
        </w:rPr>
      </w:r>
    </w:p>
    <w:p>
      <w:pPr>
        <w:pStyle w:val="1107"/>
        <w:numPr>
          <w:ilvl w:val="0"/>
          <w:numId w:val="0"/>
        </w:numPr>
        <w:ind w:firstLine="0"/>
        <w:pageBreakBefore w:val="0"/>
        <w:spacing w:before="0"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1107"/>
        <w:numPr>
          <w:ilvl w:val="0"/>
          <w:numId w:val="0"/>
        </w:numPr>
        <w:ind w:firstLine="0"/>
        <w:pageBreakBefore w:val="0"/>
        <w:spacing w:before="0"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rPr>
          <w:highlight w:val="none"/>
        </w:rPr>
      </w:r>
    </w:p>
    <w:p>
      <w:pPr>
        <w:pStyle w:val="1107"/>
        <w:numPr>
          <w:ilvl w:val="0"/>
          <w:numId w:val="0"/>
        </w:numPr>
        <w:ind w:firstLine="0"/>
        <w:pageBreakBefore w:val="0"/>
        <w:spacing w:before="0" w:line="360" w:lineRule="auto"/>
        <w:rPr>
          <w:rFonts w:hint="eastAsia" w:ascii="宋体" w:hAnsi="宋体" w:eastAsia="宋体" w:cs="宋体"/>
          <w:iCs w:val="0"/>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rPr>
          <w:highlight w:val="none"/>
        </w:rPr>
      </w:r>
    </w:p>
    <w:p>
      <w:pPr>
        <w:pStyle w:val="1107"/>
        <w:numPr>
          <w:ilvl w:val="0"/>
          <w:numId w:val="0"/>
        </w:numPr>
        <w:ind w:firstLine="0"/>
        <w:pageBreakBefore w:val="0"/>
        <w:spacing w:before="0" w:line="360" w:lineRule="auto"/>
        <w:rPr>
          <w:rFonts w:hint="eastAsia" w:ascii="宋体" w:hAnsi="宋体" w:eastAsia="宋体" w:cs="宋体"/>
          <w:iCs w:val="0"/>
          <w:color w:val="auto"/>
          <w:sz w:val="21"/>
          <w:szCs w:val="21"/>
          <w:highlight w:val="none"/>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rPr>
          <w:highlight w:val="none"/>
        </w:rPr>
      </w:r>
    </w:p>
    <w:p>
      <w:pPr>
        <w:pStyle w:val="1107"/>
        <w:numPr>
          <w:ilvl w:val="0"/>
          <w:numId w:val="0"/>
        </w:numPr>
        <w:ind w:left="0" w:firstLine="0"/>
        <w:pageBreakBefore w:val="0"/>
        <w:spacing w:before="0" w:line="360" w:lineRule="auto"/>
        <w:rPr>
          <w:rFonts w:hint="eastAsia" w:ascii="宋体" w:hAnsi="宋体" w:eastAsia="宋体" w:cs="宋体"/>
          <w:iCs w:val="0"/>
          <w:color w:val="auto"/>
          <w:sz w:val="21"/>
          <w:szCs w:val="21"/>
          <w:highlight w:val="none"/>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rPr>
          <w:highlight w:val="none"/>
        </w:rPr>
      </w:r>
    </w:p>
    <w:p>
      <w:pPr>
        <w:pStyle w:val="1107"/>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rPr>
          <w:highlight w:val="none"/>
        </w:rPr>
      </w:r>
    </w:p>
    <w:p>
      <w:pPr>
        <w:pStyle w:val="1107"/>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rPr>
          <w:highlight w:val="none"/>
        </w:rPr>
      </w:r>
    </w:p>
    <w:p>
      <w:pPr>
        <w:pStyle w:val="1107"/>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rPr>
          <w:highlight w:val="none"/>
        </w:rPr>
      </w:r>
    </w:p>
    <w:p>
      <w:pPr>
        <w:pStyle w:val="1107"/>
        <w:numPr>
          <w:ilvl w:val="0"/>
          <w:numId w:val="0"/>
        </w:numPr>
        <w:ind w:firstLine="220"/>
        <w:pageBreakBefore w:val="0"/>
        <w:spacing w:before="0"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rPr>
          <w:highlight w:val="none"/>
        </w:rP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rPr>
          <w:highlight w:val="none"/>
        </w:rP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rPr>
          <w:highlight w:val="none"/>
        </w:rP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rPr>
          <w:highlight w:val="none"/>
        </w:rPr>
      </w:r>
    </w:p>
    <w:p>
      <w:pPr>
        <w:numPr>
          <w:ilvl w:val="0"/>
          <w:numId w:val="0"/>
        </w:numPr>
        <w:ind w:firstLine="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highlight w:val="none"/>
        </w:rP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rPr>
          <w:highlight w:val="none"/>
        </w:rP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highlight w:val="none"/>
        </w:rP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rPr>
          <w:highlight w:val="none"/>
        </w:rPr>
      </w:r>
    </w:p>
    <w:p>
      <w:pPr>
        <w:ind w:firstLine="840"/>
        <w:pageBreakBefore w:val="0"/>
        <w:spacing w:line="360" w:lineRule="auto"/>
        <w:rPr>
          <w:rFonts w:hint="eastAsia" w:ascii="宋体" w:hAnsi="宋体" w:eastAsia="宋体" w:cs="宋体"/>
          <w:iCs/>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rPr>
          <w:highlight w:val="none"/>
        </w:rPr>
      </w:r>
    </w:p>
    <w:p>
      <w:pPr>
        <w:ind w:firstLine="840"/>
        <w:pageBreakBefore w:val="0"/>
        <w:spacing w:line="360" w:lineRule="auto"/>
        <w:rPr>
          <w:rFonts w:hint="eastAsia" w:ascii="宋体" w:hAnsi="宋体" w:eastAsia="宋体" w:cs="宋体"/>
          <w:color w:val="auto"/>
          <w:highlight w:val="none"/>
          <w:u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highlight w:val="none"/>
        </w:rP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rPr>
          <w:highlight w:val="none"/>
        </w:rPr>
      </w:r>
    </w:p>
    <w:p>
      <w:pPr>
        <w:pStyle w:val="1107"/>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rPr>
          <w:highlight w:val="none"/>
        </w:rP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rPr>
          <w:highlight w:val="none"/>
        </w:rP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rPr>
          <w:highlight w:val="none"/>
        </w:rP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rPr>
          <w:highlight w:val="none"/>
        </w:rPr>
      </w:r>
    </w:p>
    <w:p>
      <w:pPr>
        <w:ind w:firstLine="840"/>
        <w:pageBreakBefore w:val="0"/>
        <w:spacing w:before="0" w:line="360" w:lineRule="auto"/>
        <w:rPr>
          <w:rFonts w:hint="eastAsia" w:ascii="宋体" w:hAnsi="宋体" w:eastAsia="宋体" w:cs="宋体"/>
          <w:color w:val="auto"/>
          <w:szCs w:val="21"/>
          <w:highlight w:val="none"/>
          <w:u w:val="none"/>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rPr>
          <w:highlight w:val="none"/>
        </w:rP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highlight w:val="none"/>
        </w:rP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highlight w:val="none"/>
        </w:rPr>
      </w:r>
    </w:p>
    <w:p>
      <w:pPr>
        <w:pStyle w:val="1107"/>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rPr>
          <w:highlight w:val="none"/>
        </w:rPr>
      </w:r>
    </w:p>
    <w:p>
      <w:pPr>
        <w:pStyle w:val="1107"/>
        <w:ind w:firstLine="420"/>
        <w:pageBreakBefore w:val="0"/>
        <w:spacing w:line="360" w:lineRule="auto"/>
        <w:rPr>
          <w:rFonts w:hint="eastAsia" w:ascii="宋体" w:hAnsi="宋体" w:eastAsia="宋体" w:cs="宋体"/>
          <w:color w:val="auto"/>
          <w:szCs w:val="21"/>
          <w:highlight w:val="none"/>
          <w:u w:val="single"/>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rPr>
          <w:highlight w:val="none"/>
        </w:rP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rPr>
          <w:highlight w:val="none"/>
        </w:rPr>
      </w:r>
    </w:p>
    <w:p>
      <w:pPr>
        <w:pStyle w:val="1107"/>
        <w:ind w:firstLine="420"/>
        <w:pageBreakBefore w:val="0"/>
        <w:spacing w:line="360" w:lineRule="auto"/>
        <w:rPr>
          <w:rFonts w:hint="eastAsia" w:ascii="宋体" w:hAnsi="宋体" w:eastAsia="宋体" w:cs="宋体"/>
          <w:b w:val="0"/>
          <w:bCs w:val="0"/>
          <w:color w:val="auto"/>
          <w:sz w:val="21"/>
          <w:szCs w:val="21"/>
          <w:highlight w:val="none"/>
          <w:u w:val="none"/>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rPr>
          <w:highlight w:val="none"/>
        </w:rP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rPr>
          <w:highlight w:val="none"/>
        </w:rP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rPr>
          <w:highlight w:val="none"/>
        </w:rP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rPr>
          <w:highlight w:val="none"/>
        </w:rPr>
      </w:r>
      <w:bookmarkStart w:id="319" w:name="_Toc18353"/>
      <w:r>
        <w:rPr>
          <w:rFonts w:hint="eastAsia" w:ascii="宋体" w:hAnsi="宋体" w:eastAsia="宋体" w:cs="宋体"/>
          <w:b/>
          <w:color w:val="auto"/>
          <w:szCs w:val="21"/>
          <w:highlight w:val="none"/>
        </w:rPr>
        <w:t xml:space="preserve">合同金额</w:t>
      </w:r>
      <w:bookmarkEnd w:id="319"/>
      <w:r>
        <w:rPr>
          <w:highlight w:val="none"/>
        </w:rPr>
      </w:r>
      <w:r>
        <w:rPr>
          <w:highlight w:val="none"/>
        </w:rP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highlight w:val="none"/>
        </w:rP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highlight w:val="none"/>
        </w:rPr>
      </w:r>
    </w:p>
    <w:p>
      <w:p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（注：固定单价合同应填写单价和最高限价）</w:t>
      </w:r>
      <w:r>
        <w:rPr>
          <w:highlight w:val="none"/>
        </w:rP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rPr>
          <w:highlight w:val="none"/>
        </w:rPr>
      </w:r>
    </w:p>
    <w:p>
      <w:pPr>
        <w:pStyle w:val="1108"/>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rPr>
          <w:highlight w:val="none"/>
        </w:rP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rPr>
          <w:highlight w:val="none"/>
        </w:rP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rPr>
          <w:highlight w:val="none"/>
        </w:rP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rPr>
          <w:highlight w:val="none"/>
        </w:rP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rPr>
          <w:highlight w:val="none"/>
        </w:rPr>
      </w:r>
    </w:p>
    <w:p>
      <w:pPr>
        <w:numPr>
          <w:ilvl w:val="0"/>
          <w:numId w:val="3"/>
        </w:numPr>
        <w:ind w:firstLine="422"/>
        <w:pageBreakBefore w:val="0"/>
        <w:spacing w:before="0" w:line="360" w:lineRule="auto"/>
        <w:rPr>
          <w:rFonts w:hint="eastAsia" w:ascii="宋体" w:hAnsi="宋体" w:eastAsia="宋体" w:cs="宋体"/>
          <w:b/>
          <w:bCs w:val="0"/>
          <w:color w:val="auto"/>
          <w:szCs w:val="21"/>
          <w:highlight w:val="none"/>
          <w:u w:val="single"/>
        </w:rPr>
        <w:outlineLvl w:val="9"/>
      </w:pPr>
      <w:r>
        <w:rPr>
          <w:highlight w:val="none"/>
        </w:rPr>
      </w:r>
      <w:bookmarkStart w:id="320" w:name="_Toc12443"/>
      <w:r>
        <w:rPr>
          <w:rFonts w:hint="eastAsia" w:ascii="宋体" w:hAnsi="宋体" w:eastAsia="宋体" w:cs="宋体"/>
          <w:b/>
          <w:bCs w:val="0"/>
          <w:color w:val="auto"/>
          <w:szCs w:val="21"/>
          <w:highlight w:val="none"/>
        </w:rPr>
        <w:t xml:space="preserve">合同履行</w:t>
      </w:r>
      <w:bookmarkEnd w:id="320"/>
      <w:r>
        <w:rPr>
          <w:highlight w:val="none"/>
        </w:rPr>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highlight w:val="none"/>
        </w:rP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color w:val="auto"/>
          <w:sz w:val="21"/>
          <w:szCs w:val="21"/>
          <w:highlight w:val="none"/>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rPr>
          <w:highlight w:val="none"/>
        </w:rPr>
      </w:r>
    </w:p>
    <w:p>
      <w:pPr>
        <w:pStyle w:val="1107"/>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rPr>
          <w:highlight w:val="none"/>
        </w:rPr>
      </w:r>
    </w:p>
    <w:p>
      <w:pPr>
        <w:pStyle w:val="1107"/>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rPr>
          <w:highlight w:val="none"/>
        </w:rPr>
      </w:r>
    </w:p>
    <w:p>
      <w:pPr>
        <w:ind w:firstLine="420"/>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highlight w:val="none"/>
        </w:rP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rPr>
          <w:highlight w:val="none"/>
        </w:rPr>
      </w:r>
      <w:bookmarkStart w:id="321" w:name="_Toc6378"/>
      <w:r>
        <w:rPr>
          <w:rFonts w:hint="eastAsia" w:ascii="宋体" w:hAnsi="宋体" w:eastAsia="宋体" w:cs="宋体"/>
          <w:b/>
          <w:color w:val="auto"/>
          <w:szCs w:val="21"/>
          <w:highlight w:val="none"/>
        </w:rPr>
        <w:t xml:space="preserve">合同验收</w:t>
      </w:r>
      <w:bookmarkEnd w:id="321"/>
      <w:r>
        <w:rPr>
          <w:highlight w:val="none"/>
        </w:rPr>
      </w:r>
      <w:r>
        <w:rPr>
          <w:highlight w:val="none"/>
        </w:rPr>
      </w:r>
    </w:p>
    <w:p>
      <w:pPr>
        <w:numPr>
          <w:ilvl w:val="0"/>
          <w:numId w:val="4"/>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rPr>
          <w:highlight w:val="none"/>
        </w:rP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rPr>
          <w:highlight w:val="none"/>
        </w:rP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rPr>
          <w:highlight w:val="none"/>
        </w:rP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rPr>
          <w:highlight w:val="none"/>
        </w:rP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rPr>
          <w:highlight w:val="none"/>
        </w:rP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rPr>
          <w:highlight w:val="none"/>
        </w:rP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highlight w:val="none"/>
        </w:rP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rPr>
          <w:highlight w:val="none"/>
        </w:rPr>
      </w:r>
    </w:p>
    <w:p>
      <w:pPr>
        <w:pStyle w:val="1107"/>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rPr>
          <w:highlight w:val="none"/>
        </w:rP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rPr>
          <w:highlight w:val="none"/>
        </w:rP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rPr>
          <w:highlight w:val="none"/>
        </w:rPr>
      </w:r>
      <w:bookmarkStart w:id="322" w:name="_Toc22020"/>
      <w:r>
        <w:rPr>
          <w:rFonts w:hint="eastAsia" w:ascii="宋体" w:hAnsi="宋体" w:eastAsia="宋体" w:cs="宋体"/>
          <w:b/>
          <w:color w:val="auto"/>
          <w:szCs w:val="21"/>
          <w:highlight w:val="none"/>
        </w:rPr>
        <w:t xml:space="preserve">组成合同的文件</w:t>
      </w:r>
      <w:bookmarkEnd w:id="322"/>
      <w:r>
        <w:rPr>
          <w:highlight w:val="none"/>
        </w:rPr>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rPr>
          <w:highlight w:val="none"/>
        </w:rPr>
      </w:r>
    </w:p>
    <w:p>
      <w:pPr>
        <w:pStyle w:val="1107"/>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highlight w:val="none"/>
        </w:rP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rPr>
          <w:highlight w:val="none"/>
        </w:rPr>
      </w:r>
      <w:bookmarkStart w:id="323" w:name="_Toc24341"/>
      <w:r>
        <w:rPr>
          <w:rFonts w:hint="eastAsia" w:ascii="宋体" w:hAnsi="宋体" w:eastAsia="宋体" w:cs="宋体"/>
          <w:b/>
          <w:color w:val="auto"/>
          <w:szCs w:val="21"/>
          <w:highlight w:val="none"/>
        </w:rPr>
        <w:t xml:space="preserve">合同生效</w:t>
      </w:r>
      <w:bookmarkEnd w:id="323"/>
      <w:r>
        <w:rPr>
          <w:highlight w:val="none"/>
        </w:rPr>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rPr>
          <w:highlight w:val="none"/>
        </w:rP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rPr>
          <w:highlight w:val="none"/>
        </w:rPr>
      </w:r>
      <w:bookmarkStart w:id="324" w:name="_Toc23415"/>
      <w:r>
        <w:rPr>
          <w:rFonts w:hint="eastAsia" w:ascii="宋体" w:hAnsi="宋体" w:eastAsia="宋体" w:cs="宋体"/>
          <w:b/>
          <w:color w:val="auto"/>
          <w:szCs w:val="21"/>
          <w:highlight w:val="none"/>
        </w:rPr>
        <w:t xml:space="preserve">合同份数</w:t>
      </w:r>
      <w:bookmarkEnd w:id="324"/>
      <w:r>
        <w:rPr>
          <w:highlight w:val="none"/>
        </w:rPr>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highlight w:val="none"/>
        </w:rP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rPr>
          <w:highlight w:val="none"/>
        </w:rP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rPr>
          <w:highlight w:val="none"/>
        </w:rPr>
      </w:r>
    </w:p>
    <w:p>
      <w:pPr>
        <w:pStyle w:val="1108"/>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p>
      <w:pPr>
        <w:pageBreakBefore w:val="0"/>
        <w:spacing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highlight w:val="none"/>
          <w:lang w:val="en"/>
        </w:rPr>
        <w:t xml:space="preserve">   </w:t>
      </w:r>
      <w:r>
        <w:rPr>
          <w:highlight w:val="none"/>
        </w:rP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rPr>
          <w:highlight w:val="none"/>
        </w:rPr>
      </w:r>
    </w:p>
    <w:p>
      <w:pPr>
        <w:pStyle w:val="1108"/>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tbl>
      <w:tblPr>
        <w:tblStyle w:val="10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210"/>
        <w:gridCol w:w="2820"/>
        <w:gridCol w:w="2313"/>
        <w:gridCol w:w="2474"/>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rPr>
                <w:highlight w:val="none"/>
              </w:rP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rPr>
                <w:highlight w:val="none"/>
              </w:rP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rPr>
                <w:highlight w:val="none"/>
              </w:rP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rPr>
                <w:highlight w:val="none"/>
              </w:rP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rPr>
                <w:highlight w:val="none"/>
              </w:rP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拥有者性别</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rPr>
                <w:highlight w:val="none"/>
              </w:rP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rPr>
                <w:highlight w:val="none"/>
              </w:rPr>
            </w:r>
          </w:p>
        </w:tc>
      </w:tr>
      <w:tr>
        <w:trPr>
          <w:trHeight w:val="586"/>
        </w:trPr>
        <w:tc>
          <w:tcPr>
            <w:gridSpan w:val="4"/>
            <w:tcBorders>
              <w:top w:val="single" w:color="auto" w:sz="2" w:space="0"/>
            </w:tcBorders>
            <w:tcW w:w="9035" w:type="dxa"/>
            <w:vAlign w:val="center"/>
            <w:textDirection w:val="lrTb"/>
            <w:noWrap w:val="false"/>
          </w:tcPr>
          <w:p>
            <w:pPr>
              <w:pStyle w:val="1085"/>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rPr>
                <w:highlight w:val="none"/>
              </w:rP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5" w:name="_Toc21891"/>
      <w:r>
        <w:rPr>
          <w:highlight w:val="none"/>
        </w:rPr>
      </w:r>
      <w:bookmarkStart w:id="326" w:name="_Toc27624"/>
      <w:r>
        <w:rPr>
          <w:rFonts w:hint="eastAsia" w:ascii="宋体" w:hAnsi="宋体" w:eastAsia="宋体" w:cs="宋体"/>
          <w:b/>
          <w:bCs/>
          <w:color w:val="auto"/>
          <w:sz w:val="28"/>
          <w:szCs w:val="28"/>
          <w:highlight w:val="none"/>
        </w:rPr>
        <w:t xml:space="preserve">第二节 政府采购合同通用条款</w:t>
      </w:r>
      <w:bookmarkEnd w:id="325"/>
      <w:r>
        <w:rPr>
          <w:highlight w:val="none"/>
        </w:rPr>
      </w:r>
      <w:bookmarkEnd w:id="326"/>
      <w:r>
        <w:rPr>
          <w:highlight w:val="none"/>
        </w:rPr>
      </w:r>
      <w:r>
        <w:rPr>
          <w:highlight w:val="none"/>
        </w:rP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rPr>
          <w:highlight w:val="none"/>
        </w:rPr>
      </w:r>
      <w:bookmarkStart w:id="327"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7"/>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rPr>
          <w:highlight w:val="none"/>
        </w:rP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auto"/>
          <w:szCs w:val="21"/>
          <w:highlight w:val="none"/>
        </w:rPr>
        <w:t xml:space="preserve">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rPr>
          <w:highlight w:val="none"/>
        </w:rP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rPr>
          <w:highlight w:val="none"/>
        </w:rPr>
      </w:r>
    </w:p>
    <w:p>
      <w:pPr>
        <w:numPr>
          <w:ilvl w:val="0"/>
          <w:numId w:val="5"/>
        </w:num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28" w:name="_Toc1083"/>
      <w:r>
        <w:rPr>
          <w:rFonts w:hint="eastAsia" w:ascii="宋体" w:hAnsi="宋体" w:eastAsia="宋体" w:cs="宋体"/>
          <w:b/>
          <w:color w:val="auto"/>
          <w:sz w:val="24"/>
          <w:highlight w:val="none"/>
        </w:rPr>
        <w:t xml:space="preserve">合同标的及金额</w:t>
      </w:r>
      <w:bookmarkEnd w:id="328"/>
      <w:r>
        <w:rPr>
          <w:highlight w:val="none"/>
        </w:rPr>
      </w:r>
      <w:r>
        <w:rPr>
          <w:highlight w:val="none"/>
        </w:rP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rPr>
          <w:highlight w:val="none"/>
        </w:rPr>
      </w:r>
    </w:p>
    <w:p>
      <w:pPr>
        <w:jc w:val="left"/>
        <w:pageBreakBefore w:val="0"/>
        <w:spacing w:before="0" w:line="360" w:lineRule="auto"/>
        <w:rPr>
          <w:rFonts w:hint="eastAsia" w:ascii="宋体" w:hAnsi="宋体" w:eastAsia="宋体" w:cs="宋体"/>
          <w:b/>
          <w:color w:val="auto"/>
          <w:sz w:val="24"/>
          <w:highlight w:val="none"/>
        </w:rPr>
        <w:outlineLvl w:val="9"/>
      </w:pPr>
      <w:r>
        <w:rPr>
          <w:highlight w:val="none"/>
        </w:rPr>
      </w:r>
      <w:bookmarkStart w:id="329"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29"/>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0"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30"/>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rPr>
          <w:highlight w:val="none"/>
        </w:rP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rPr>
          <w:highlight w:val="none"/>
        </w:rP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1"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31"/>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rPr>
          <w:highlight w:val="none"/>
        </w:rPr>
      </w:r>
    </w:p>
    <w:p>
      <w:pPr>
        <w:pStyle w:val="1084"/>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rPr>
          <w:highlight w:val="none"/>
        </w:rPr>
      </w:r>
    </w:p>
    <w:p>
      <w:pPr>
        <w:pStyle w:val="1084"/>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rPr>
          <w:highlight w:val="none"/>
        </w:rPr>
      </w:r>
    </w:p>
    <w:p>
      <w:pPr>
        <w:numPr>
          <w:ilvl w:val="0"/>
          <w:numId w:val="6"/>
        </w:num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2"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2"/>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rPr>
          <w:highlight w:val="none"/>
        </w:rP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3"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3"/>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rPr>
          <w:highlight w:val="none"/>
        </w:rPr>
      </w:r>
    </w:p>
    <w:p>
      <w:pPr>
        <w:pStyle w:val="1107"/>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rPr>
          <w:highlight w:val="none"/>
        </w:rPr>
      </w:r>
    </w:p>
    <w:p>
      <w:pPr>
        <w:jc w:val="left"/>
        <w:pageBreakBefore w:val="0"/>
        <w:spacing w:before="0" w:line="360" w:lineRule="auto"/>
        <w:rPr>
          <w:rFonts w:hint="eastAsia" w:ascii="宋体" w:hAnsi="宋体" w:eastAsia="宋体" w:cs="宋体"/>
          <w:b/>
          <w:color w:val="auto"/>
          <w:sz w:val="24"/>
          <w:highlight w:val="none"/>
        </w:rPr>
        <w:outlineLvl w:val="9"/>
      </w:pPr>
      <w:r>
        <w:rPr>
          <w:highlight w:val="none"/>
        </w:rPr>
      </w:r>
      <w:bookmarkStart w:id="334"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4"/>
      <w:r>
        <w:rPr>
          <w:highlight w:val="none"/>
        </w:rPr>
      </w:r>
      <w:r>
        <w:rPr>
          <w:highlight w:val="none"/>
        </w:rPr>
      </w:r>
    </w:p>
    <w:p>
      <w:pPr>
        <w:pStyle w:val="1088"/>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w:t>
      </w:r>
      <w:r>
        <w:rPr>
          <w:rFonts w:hint="eastAsia" w:ascii="宋体" w:hAnsi="宋体" w:eastAsia="宋体" w:cs="宋体"/>
          <w:color w:val="auto"/>
          <w:szCs w:val="21"/>
          <w:highlight w:val="none"/>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rPr>
          <w:highlight w:val="none"/>
        </w:rPr>
      </w:r>
    </w:p>
    <w:p>
      <w:pPr>
        <w:pStyle w:val="1088"/>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5"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5"/>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6"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6"/>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337"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7"/>
      <w:r>
        <w:rPr>
          <w:rFonts w:hint="eastAsia" w:ascii="宋体" w:hAnsi="宋体" w:eastAsia="宋体" w:cs="宋体"/>
          <w:color w:val="auto"/>
          <w:szCs w:val="21"/>
          <w:highlight w:val="none"/>
        </w:rPr>
        <w:t xml:space="preserve">。</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8"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38"/>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39"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39"/>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rPr>
          <w:highlight w:val="none"/>
        </w:rP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rPr>
          <w:highlight w:val="none"/>
        </w:rPr>
      </w:r>
    </w:p>
    <w:p>
      <w:pPr>
        <w:pStyle w:val="1084"/>
        <w:pageBreakBefore w:val="0"/>
        <w:spacing w:after="0" w:line="360" w:lineRule="auto"/>
        <w:rPr>
          <w:rFonts w:hint="eastAsia" w:ascii="宋体" w:hAnsi="宋体" w:eastAsia="宋体" w:cs="宋体"/>
          <w:b/>
          <w:bCs/>
          <w:color w:val="auto"/>
          <w:sz w:val="24"/>
          <w:szCs w:val="24"/>
          <w:highlight w:val="none"/>
        </w:rPr>
        <w:outlineLvl w:val="9"/>
      </w:pPr>
      <w:r>
        <w:rPr>
          <w:highlight w:val="none"/>
        </w:rPr>
      </w:r>
      <w:bookmarkStart w:id="340"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40"/>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rPr>
          <w:highlight w:val="none"/>
        </w:rP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rPr>
          <w:highlight w:val="none"/>
        </w:rPr>
      </w:r>
    </w:p>
    <w:p>
      <w:pPr>
        <w:jc w:val="left"/>
        <w:pageBreakBefore w:val="0"/>
        <w:spacing w:before="0" w:line="360" w:lineRule="auto"/>
        <w:rPr>
          <w:rFonts w:hint="eastAsia" w:ascii="宋体" w:hAnsi="宋体" w:eastAsia="宋体" w:cs="宋体"/>
          <w:b/>
          <w:color w:val="auto"/>
          <w:sz w:val="24"/>
          <w:highlight w:val="none"/>
        </w:rPr>
        <w:outlineLvl w:val="9"/>
      </w:pPr>
      <w:r>
        <w:rPr>
          <w:highlight w:val="none"/>
        </w:rPr>
      </w:r>
      <w:bookmarkStart w:id="341"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41"/>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rPr>
          <w:highlight w:val="none"/>
        </w:rPr>
      </w:r>
    </w:p>
    <w:p>
      <w:pPr>
        <w:pStyle w:val="1107"/>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42"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2"/>
      <w:r>
        <w:rPr>
          <w:highlight w:val="none"/>
        </w:rPr>
      </w:r>
      <w:r>
        <w:rPr>
          <w:highlight w:val="none"/>
        </w:rP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rPr>
          <w:highlight w:val="none"/>
        </w:rPr>
      </w:r>
    </w:p>
    <w:p>
      <w:pPr>
        <w:numPr>
          <w:ilvl w:val="0"/>
          <w:numId w:val="7"/>
        </w:numPr>
        <w:jc w:val="left"/>
        <w:pageBreakBefore w:val="0"/>
        <w:spacing w:before="0" w:line="360" w:lineRule="auto"/>
        <w:rPr>
          <w:rFonts w:hint="eastAsia" w:ascii="宋体" w:hAnsi="宋体" w:eastAsia="宋体" w:cs="宋体"/>
          <w:b/>
          <w:color w:val="auto"/>
          <w:sz w:val="24"/>
          <w:highlight w:val="none"/>
        </w:rPr>
        <w:outlineLvl w:val="9"/>
      </w:pPr>
      <w:r>
        <w:rPr>
          <w:highlight w:val="none"/>
        </w:rPr>
      </w:r>
      <w:bookmarkStart w:id="343"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3"/>
      <w:r>
        <w:rPr>
          <w:highlight w:val="none"/>
        </w:rPr>
      </w:r>
      <w:r>
        <w:rPr>
          <w:highlight w:val="none"/>
        </w:rP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rPr>
          <w:highlight w:val="none"/>
        </w:rP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rPr>
          <w:highlight w:val="none"/>
        </w:rPr>
      </w:r>
    </w:p>
    <w:p>
      <w:pPr>
        <w:ind w:firstLine="420"/>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rPr>
          <w:highlight w:val="none"/>
        </w:rPr>
      </w:r>
    </w:p>
    <w:p>
      <w:pPr>
        <w:pStyle w:val="1107"/>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44"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4"/>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45"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5"/>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rPr>
          <w:highlight w:val="none"/>
        </w:rPr>
      </w:r>
    </w:p>
    <w:p>
      <w:p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46"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6"/>
      <w:r>
        <w:rPr>
          <w:highlight w:val="none"/>
        </w:rPr>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rPr>
          <w:highlight w:val="none"/>
        </w:rPr>
      </w:r>
    </w:p>
    <w:p>
      <w:pPr>
        <w:jc w:val="left"/>
        <w:pageBreakBefore w:val="0"/>
        <w:spacing w:before="0" w:line="360" w:lineRule="auto"/>
        <w:rPr>
          <w:rFonts w:hint="eastAsia" w:ascii="宋体" w:hAnsi="宋体" w:eastAsia="宋体" w:cs="宋体"/>
          <w:color w:val="auto"/>
          <w:sz w:val="24"/>
          <w:highlight w:val="none"/>
        </w:rPr>
        <w:outlineLvl w:val="9"/>
      </w:pPr>
      <w:r>
        <w:rPr>
          <w:highlight w:val="none"/>
        </w:rPr>
      </w:r>
      <w:bookmarkStart w:id="347"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7"/>
      <w:r>
        <w:rPr>
          <w:highlight w:val="none"/>
        </w:rPr>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rPr>
          <w:highlight w:val="none"/>
        </w:rPr>
      </w:r>
    </w:p>
    <w:p>
      <w:pPr>
        <w:pStyle w:val="1084"/>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pageBreakBefore w:val="0"/>
        <w:spacing w:before="0" w:line="360" w:lineRule="auto"/>
        <w:rPr>
          <w:rFonts w:hint="eastAsia" w:ascii="宋体" w:hAnsi="宋体" w:eastAsia="宋体" w:cs="宋体"/>
          <w:b/>
          <w:color w:val="auto"/>
          <w:sz w:val="24"/>
          <w:highlight w:val="none"/>
        </w:rPr>
        <w:outlineLvl w:val="9"/>
      </w:pPr>
      <w:r>
        <w:rPr>
          <w:highlight w:val="none"/>
        </w:rPr>
      </w:r>
      <w:bookmarkStart w:id="348"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48"/>
      <w:r>
        <w:rPr>
          <w:highlight w:val="none"/>
        </w:rPr>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rPr>
          <w:highlight w:val="none"/>
        </w:rP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rPr>
          <w:highlight w:val="none"/>
        </w:rPr>
      </w:r>
      <w:bookmarkStart w:id="349"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49"/>
      <w:r>
        <w:rPr>
          <w:highlight w:val="none"/>
        </w:rPr>
      </w:r>
      <w:r>
        <w:rPr>
          <w:highlight w:val="none"/>
        </w:rPr>
      </w:r>
    </w:p>
    <w:p>
      <w:pPr>
        <w:pStyle w:val="1107"/>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rPr>
          <w:highlight w:val="none"/>
        </w:rPr>
      </w:r>
    </w:p>
    <w:p>
      <w:pPr>
        <w:pStyle w:val="1107"/>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w:t>
      </w:r>
      <w:r>
        <w:rPr>
          <w:rFonts w:hint="eastAsia" w:ascii="宋体" w:hAnsi="宋体" w:cs="宋体"/>
          <w:color w:val="auto"/>
          <w:szCs w:val="21"/>
          <w:highlight w:val="none"/>
          <w:lang w:eastAsia="zh-CN"/>
        </w:rPr>
        <w:t xml:space="preserve">送达</w:t>
      </w:r>
      <w:r>
        <w:rPr>
          <w:rFonts w:hint="eastAsia" w:ascii="宋体" w:hAnsi="宋体" w:eastAsia="宋体" w:cs="宋体"/>
          <w:color w:val="auto"/>
          <w:szCs w:val="21"/>
          <w:highlight w:val="none"/>
        </w:rPr>
        <w:t xml:space="preserve">本合同中规定的对方的地址和办理签收手续。</w:t>
      </w:r>
      <w:r>
        <w:rPr>
          <w:highlight w:val="none"/>
        </w:rP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rPr>
          <w:highlight w:val="none"/>
        </w:rPr>
      </w:r>
    </w:p>
    <w:p>
      <w:pPr>
        <w:numPr>
          <w:ilvl w:val="0"/>
          <w:numId w:val="8"/>
        </w:numPr>
        <w:jc w:val="left"/>
        <w:pageBreakBefore w:val="0"/>
        <w:spacing w:before="0" w:line="360" w:lineRule="auto"/>
        <w:rPr>
          <w:rFonts w:hint="eastAsia" w:ascii="宋体" w:hAnsi="宋体" w:eastAsia="宋体" w:cs="宋体"/>
          <w:b/>
          <w:bCs/>
          <w:color w:val="auto"/>
          <w:sz w:val="24"/>
          <w:highlight w:val="none"/>
        </w:rPr>
        <w:outlineLvl w:val="9"/>
      </w:pPr>
      <w:r>
        <w:rPr>
          <w:highlight w:val="none"/>
        </w:rPr>
      </w:r>
      <w:bookmarkStart w:id="350" w:name="_Toc7670"/>
      <w:r>
        <w:rPr>
          <w:rFonts w:hint="eastAsia" w:ascii="宋体" w:hAnsi="宋体" w:eastAsia="宋体" w:cs="宋体"/>
          <w:b/>
          <w:bCs/>
          <w:color w:val="auto"/>
          <w:sz w:val="24"/>
          <w:highlight w:val="none"/>
        </w:rPr>
        <w:t xml:space="preserve">合同未尽事项</w:t>
      </w:r>
      <w:bookmarkEnd w:id="350"/>
      <w:r>
        <w:rPr>
          <w:highlight w:val="none"/>
        </w:rPr>
      </w:r>
      <w:r>
        <w:rPr>
          <w:highlight w:val="none"/>
        </w:rP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rPr>
          <w:highlight w:val="none"/>
        </w:rP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51" w:name="_Toc20313"/>
      <w:r>
        <w:rPr>
          <w:highlight w:val="none"/>
        </w:rPr>
      </w:r>
      <w:r>
        <w:rPr>
          <w:highlight w:val="none"/>
        </w:rP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rPr>
          <w:highlight w:val="none"/>
        </w:rPr>
      </w:r>
    </w:p>
    <w:p>
      <w:pPr>
        <w:jc w:val="center"/>
        <w:pageBreakBefore w:val="0"/>
        <w:spacing w:line="360" w:lineRule="auto"/>
        <w:rPr>
          <w:rFonts w:hint="eastAsia" w:ascii="宋体" w:hAnsi="宋体" w:eastAsia="宋体" w:cs="宋体"/>
          <w:b/>
          <w:bCs/>
          <w:color w:val="auto"/>
          <w:sz w:val="28"/>
          <w:szCs w:val="28"/>
          <w:highlight w:val="none"/>
        </w:rPr>
        <w:outlineLvl w:val="1"/>
      </w:pPr>
      <w:r>
        <w:rPr>
          <w:highlight w:val="none"/>
        </w:rPr>
      </w:r>
      <w:bookmarkStart w:id="352" w:name="_Toc6892"/>
      <w:r>
        <w:rPr>
          <w:rFonts w:hint="eastAsia" w:ascii="宋体" w:hAnsi="宋体" w:eastAsia="宋体" w:cs="宋体"/>
          <w:b/>
          <w:bCs/>
          <w:color w:val="auto"/>
          <w:sz w:val="28"/>
          <w:szCs w:val="28"/>
          <w:highlight w:val="none"/>
        </w:rPr>
        <w:t xml:space="preserve">第三节 政府采购合同专用条款</w:t>
      </w:r>
      <w:bookmarkEnd w:id="351"/>
      <w:r>
        <w:rPr>
          <w:highlight w:val="none"/>
        </w:rPr>
      </w:r>
      <w:bookmarkEnd w:id="352"/>
      <w:r>
        <w:rPr>
          <w:highlight w:val="none"/>
        </w:rPr>
      </w:r>
      <w:r>
        <w:rPr>
          <w:highlight w:val="none"/>
        </w:rPr>
      </w:r>
    </w:p>
    <w:tbl>
      <w:tblPr>
        <w:tblStyle w:val="1080"/>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Cs w:val="21"/>
                <w:highlight w:val="none"/>
              </w:rPr>
              <w:t xml:space="preserve">其他术语解释</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r>
            <w:r>
              <w:rPr>
                <w:highlight w:val="none"/>
              </w:rP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履约验收中甲方提出异议或作出说明的期限</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r>
            <w:r>
              <w:rPr>
                <w:highlight w:val="none"/>
              </w:rP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约定甲方承担的其他义务和责任</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r>
            <w:r>
              <w:rPr>
                <w:highlight w:val="none"/>
              </w:rP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约定乙方承担的其他义务和责任</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r>
            <w:r>
              <w:rPr>
                <w:highlight w:val="none"/>
              </w:rP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履行合同义务的顺序</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r>
            <w:r>
              <w:rPr>
                <w:highlight w:val="none"/>
              </w:rP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指定现场</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运输特殊要求</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保险要求</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rPr>
                <w:highlight w:val="none"/>
              </w:rP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rPr>
                <w:highlight w:val="none"/>
              </w:rP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val="en-US" w:eastAsia="zh-CN"/>
              </w:rPr>
              <w:t xml:space="preserve">第二节第11.1款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其他应当保密的信息</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履约保证金不予退还的情形</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运行监督、维修期限</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货物回收的约定</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rPr>
                <w:highlight w:val="none"/>
              </w:rP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rPr>
                <w:highlight w:val="none"/>
              </w:rP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rPr>
                <w:highlight w:val="none"/>
              </w:rP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rPr>
                <w:highlight w:val="none"/>
              </w:rP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rPr>
                <w:highlight w:val="none"/>
              </w:rP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rPr>
                <w:highlight w:val="none"/>
              </w:rP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rPr>
                <w:highlight w:val="none"/>
              </w:rP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rPr>
                <w:highlight w:val="none"/>
              </w:rP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rPr>
                <w:highlight w:val="none"/>
              </w:rP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rPr>
                <w:highlight w:val="none"/>
              </w:rP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rPr>
                <w:highlight w:val="none"/>
              </w:rP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rPr>
                <w:highlight w:val="none"/>
              </w:rP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rPr>
                <w:highlight w:val="none"/>
              </w:rP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r>
            <w:r>
              <w:rPr>
                <w:highlight w:val="none"/>
              </w:rP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rPr>
          <w:highlight w:val="none"/>
        </w:rP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rPr>
          <w:highlight w:val="none"/>
        </w:rPr>
      </w:r>
      <w:bookmarkStart w:id="353" w:name="_Toc432"/>
      <w:r>
        <w:rPr>
          <w:rFonts w:hint="eastAsia" w:ascii="黑体" w:hAnsi="Times New Roman" w:eastAsia="黑体"/>
          <w:b/>
          <w:bCs w:val="0"/>
          <w:color w:val="auto"/>
          <w:sz w:val="44"/>
          <w:szCs w:val="28"/>
          <w:highlight w:val="none"/>
        </w:rPr>
        <w:t xml:space="preserve">第</w:t>
      </w:r>
      <w:r>
        <w:rPr>
          <w:rFonts w:hint="eastAsia" w:ascii="黑体" w:hAnsi="Times New Roman" w:eastAsia="黑体"/>
          <w:b/>
          <w:bCs w:val="0"/>
          <w:color w:val="auto"/>
          <w:sz w:val="44"/>
          <w:szCs w:val="28"/>
          <w:highlight w:val="none"/>
          <w:lang w:val="en-US" w:eastAsia="zh-CN"/>
        </w:rPr>
        <w:t xml:space="preserve">五</w:t>
      </w:r>
      <w:r>
        <w:rPr>
          <w:rFonts w:hint="eastAsia" w:ascii="黑体" w:hAnsi="Times New Roman" w:eastAsia="黑体"/>
          <w:b/>
          <w:bCs w:val="0"/>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bookmarkEnd w:id="353"/>
      <w:r>
        <w:rPr>
          <w:highlight w:val="none"/>
        </w:rPr>
      </w:r>
      <w:r>
        <w:rPr>
          <w:highlight w:val="none"/>
        </w:rPr>
      </w:r>
    </w:p>
    <w:p>
      <w:pPr>
        <w:jc w:val="left"/>
        <w:pageBreakBefore w:val="0"/>
        <w:spacing w:before="120" w:after="120" w:line="240" w:lineRule="auto"/>
        <w:rPr>
          <w:rFonts w:hint="eastAsia" w:ascii="宋体" w:hAnsi="宋体" w:eastAsia="宋体" w:cs="宋体"/>
          <w:b/>
          <w:bCs/>
          <w:color w:val="auto"/>
          <w:sz w:val="24"/>
          <w:szCs w:val="24"/>
          <w:highlight w:val="none"/>
        </w:rPr>
        <w:outlineLvl w:val="1"/>
      </w:pPr>
      <w:r>
        <w:rPr>
          <w:highlight w:val="none"/>
        </w:rPr>
      </w:r>
      <w:bookmarkStart w:id="354" w:name="_Toc12686"/>
      <w:r>
        <w:rPr>
          <w:highlight w:val="none"/>
        </w:rPr>
      </w:r>
      <w:bookmarkStart w:id="355" w:name="_Toc25842"/>
      <w:r>
        <w:rPr>
          <w:highlight w:val="none"/>
        </w:rPr>
      </w:r>
      <w:bookmarkStart w:id="356" w:name="_Toc428"/>
      <w:r>
        <w:rPr>
          <w:highlight w:val="none"/>
        </w:rPr>
      </w:r>
      <w:bookmarkStart w:id="357" w:name="_Toc19303"/>
      <w:r>
        <w:rPr>
          <w:rFonts w:hint="eastAsia" w:ascii="宋体" w:hAnsi="宋体" w:eastAsia="宋体" w:cs="宋体"/>
          <w:b/>
          <w:bCs/>
          <w:color w:val="auto"/>
          <w:sz w:val="24"/>
          <w:szCs w:val="24"/>
          <w:highlight w:val="none"/>
          <w:lang w:val="en-US" w:eastAsia="zh-CN"/>
        </w:rPr>
        <w:t xml:space="preserve">一、评审方法</w:t>
      </w:r>
      <w:bookmarkEnd w:id="354"/>
      <w:r>
        <w:rPr>
          <w:highlight w:val="none"/>
        </w:rPr>
      </w:r>
      <w:bookmarkEnd w:id="355"/>
      <w:r>
        <w:rPr>
          <w:highlight w:val="none"/>
        </w:rPr>
      </w:r>
      <w:bookmarkEnd w:id="356"/>
      <w:r>
        <w:rPr>
          <w:highlight w:val="none"/>
        </w:rPr>
      </w:r>
      <w:bookmarkEnd w:id="357"/>
      <w:r>
        <w:rPr>
          <w:highlight w:val="none"/>
        </w:rPr>
      </w:r>
      <w:r>
        <w:rPr>
          <w:highlight w:val="none"/>
        </w:rPr>
      </w:r>
    </w:p>
    <w:p>
      <w:pPr>
        <w:ind w:firstLine="360"/>
        <w:jc w:val="left"/>
        <w:pageBreakBefore w:val="0"/>
        <w:spacing w:before="120" w:after="120"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rPr>
          <w:highlight w:val="none"/>
        </w:rPr>
      </w:r>
    </w:p>
    <w:p>
      <w:pPr>
        <w:ind w:firstLine="361"/>
        <w:jc w:val="left"/>
        <w:pageBreakBefore w:val="0"/>
        <w:spacing w:before="120" w:after="120" w:line="240" w:lineRule="auto"/>
        <w:rPr>
          <w:rFonts w:hint="eastAsia" w:ascii="宋体" w:hAnsi="宋体" w:eastAsia="宋体" w:cs="宋体"/>
          <w:b/>
          <w:bCs/>
          <w:color w:val="auto"/>
          <w:sz w:val="24"/>
          <w:szCs w:val="24"/>
          <w:highlight w:val="none"/>
        </w:rPr>
        <w:outlineLvl w:val="9"/>
      </w:pPr>
      <w:r>
        <w:rPr>
          <w:highlight w:val="none"/>
        </w:rPr>
      </w:r>
      <w:bookmarkStart w:id="358" w:name="_Toc29321"/>
      <w:r>
        <w:rPr>
          <w:highlight w:val="none"/>
        </w:rPr>
      </w:r>
      <w:bookmarkStart w:id="359" w:name="_Toc24984"/>
      <w:r>
        <w:rPr>
          <w:highlight w:val="none"/>
        </w:rPr>
      </w:r>
      <w:bookmarkStart w:id="360" w:name="_Toc13550"/>
      <w:r>
        <w:rPr>
          <w:rFonts w:hint="eastAsia" w:ascii="宋体" w:hAnsi="宋体" w:eastAsia="宋体" w:cs="宋体"/>
          <w:b/>
          <w:bCs/>
          <w:color w:val="auto"/>
          <w:sz w:val="24"/>
          <w:szCs w:val="24"/>
          <w:highlight w:val="none"/>
          <w:lang w:eastAsia="zh-CN"/>
        </w:rPr>
        <w:t xml:space="preserve">1.资格审查</w:t>
      </w:r>
      <w:bookmarkEnd w:id="358"/>
      <w:r>
        <w:rPr>
          <w:highlight w:val="none"/>
        </w:rPr>
      </w:r>
      <w:bookmarkEnd w:id="359"/>
      <w:r>
        <w:rPr>
          <w:highlight w:val="none"/>
        </w:rPr>
      </w:r>
      <w:bookmarkEnd w:id="360"/>
      <w:r>
        <w:rPr>
          <w:highlight w:val="none"/>
        </w:rPr>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rPr>
          <w:highlight w:val="none"/>
        </w:rPr>
      </w:r>
    </w:p>
    <w:p>
      <w:pPr>
        <w:ind w:firstLine="361"/>
        <w:jc w:val="left"/>
        <w:pageBreakBefore w:val="0"/>
        <w:spacing w:before="120" w:after="120" w:line="240" w:lineRule="auto"/>
        <w:rPr>
          <w:rFonts w:hint="eastAsia" w:ascii="宋体" w:hAnsi="宋体" w:eastAsia="宋体" w:cs="宋体"/>
          <w:b/>
          <w:bCs/>
          <w:color w:val="auto"/>
          <w:sz w:val="24"/>
          <w:szCs w:val="24"/>
          <w:highlight w:val="none"/>
        </w:rPr>
        <w:outlineLvl w:val="9"/>
      </w:pPr>
      <w:r>
        <w:rPr>
          <w:highlight w:val="none"/>
        </w:rPr>
      </w:r>
      <w:bookmarkStart w:id="361" w:name="_Toc11698"/>
      <w:r>
        <w:rPr>
          <w:highlight w:val="none"/>
        </w:rPr>
      </w:r>
      <w:bookmarkStart w:id="362" w:name="_Toc1685"/>
      <w:r>
        <w:rPr>
          <w:highlight w:val="none"/>
        </w:rPr>
      </w:r>
      <w:bookmarkStart w:id="363" w:name="_Toc24372"/>
      <w:r>
        <w:rPr>
          <w:rFonts w:hint="eastAsia" w:ascii="宋体" w:hAnsi="宋体" w:eastAsia="宋体" w:cs="宋体"/>
          <w:b/>
          <w:bCs/>
          <w:color w:val="auto"/>
          <w:sz w:val="24"/>
          <w:szCs w:val="24"/>
          <w:highlight w:val="none"/>
          <w:lang w:eastAsia="zh-CN"/>
        </w:rPr>
        <w:t xml:space="preserve">2.符合性审查</w:t>
      </w:r>
      <w:bookmarkEnd w:id="361"/>
      <w:r>
        <w:rPr>
          <w:highlight w:val="none"/>
        </w:rPr>
      </w:r>
      <w:bookmarkEnd w:id="362"/>
      <w:r>
        <w:rPr>
          <w:highlight w:val="none"/>
        </w:rPr>
      </w:r>
      <w:bookmarkEnd w:id="363"/>
      <w:r>
        <w:rPr>
          <w:highlight w:val="none"/>
        </w:rPr>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rPr>
          <w:highlight w:val="none"/>
        </w:rPr>
      </w:r>
    </w:p>
    <w:p>
      <w:pPr>
        <w:ind w:firstLine="361"/>
        <w:jc w:val="left"/>
        <w:pageBreakBefore w:val="0"/>
        <w:spacing w:before="120" w:after="120" w:line="240" w:lineRule="auto"/>
        <w:rPr>
          <w:rFonts w:hint="eastAsia" w:ascii="宋体" w:hAnsi="宋体" w:eastAsia="宋体" w:cs="宋体"/>
          <w:b/>
          <w:bCs/>
          <w:color w:val="auto"/>
          <w:sz w:val="24"/>
          <w:szCs w:val="24"/>
          <w:highlight w:val="none"/>
        </w:rPr>
        <w:outlineLvl w:val="9"/>
      </w:pPr>
      <w:r>
        <w:rPr>
          <w:highlight w:val="none"/>
        </w:rPr>
      </w:r>
      <w:bookmarkStart w:id="364" w:name="_Toc4205"/>
      <w:r>
        <w:rPr>
          <w:highlight w:val="none"/>
        </w:rPr>
      </w:r>
      <w:bookmarkStart w:id="365" w:name="_Toc23724"/>
      <w:r>
        <w:rPr>
          <w:highlight w:val="none"/>
        </w:rPr>
      </w:r>
      <w:bookmarkStart w:id="366" w:name="_Toc5830"/>
      <w:r>
        <w:rPr>
          <w:rFonts w:hint="eastAsia" w:ascii="宋体" w:hAnsi="宋体" w:eastAsia="宋体" w:cs="宋体"/>
          <w:b/>
          <w:bCs/>
          <w:color w:val="auto"/>
          <w:sz w:val="24"/>
          <w:szCs w:val="24"/>
          <w:highlight w:val="none"/>
          <w:lang w:eastAsia="zh-CN"/>
        </w:rPr>
        <w:t xml:space="preserve">3.响应文件的澄清</w:t>
      </w:r>
      <w:bookmarkEnd w:id="364"/>
      <w:r>
        <w:rPr>
          <w:highlight w:val="none"/>
        </w:rPr>
      </w:r>
      <w:bookmarkEnd w:id="365"/>
      <w:r>
        <w:rPr>
          <w:highlight w:val="none"/>
        </w:rPr>
      </w:r>
      <w:bookmarkEnd w:id="366"/>
      <w:r>
        <w:rPr>
          <w:highlight w:val="none"/>
        </w:rPr>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7" w:name="_Toc978"/>
      <w:r>
        <w:rPr>
          <w:highlight w:val="none"/>
        </w:rPr>
      </w:r>
      <w:bookmarkStart w:id="368" w:name="_Toc7715"/>
      <w:r>
        <w:rPr>
          <w:highlight w:val="none"/>
        </w:rPr>
      </w:r>
      <w:bookmarkStart w:id="369" w:name="_Toc11158"/>
      <w:r>
        <w:rPr>
          <w:highlight w:val="none"/>
        </w:rPr>
      </w:r>
      <w:r>
        <w:rPr>
          <w:highlight w:val="none"/>
        </w:rPr>
      </w:r>
    </w:p>
    <w:p>
      <w:pPr>
        <w:ind w:firstLine="361"/>
        <w:jc w:val="left"/>
        <w:pageBreakBefore w:val="0"/>
        <w:spacing w:before="120" w:after="120" w:line="24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4.磋商及二次报价</w:t>
      </w:r>
      <w:bookmarkEnd w:id="367"/>
      <w:r>
        <w:rPr>
          <w:highlight w:val="none"/>
        </w:rPr>
      </w:r>
      <w:bookmarkEnd w:id="368"/>
      <w:r>
        <w:rPr>
          <w:highlight w:val="none"/>
        </w:rPr>
      </w:r>
      <w:bookmarkEnd w:id="369"/>
      <w:r>
        <w:rPr>
          <w:highlight w:val="none"/>
        </w:rPr>
      </w:r>
      <w:r>
        <w:rPr>
          <w:highlight w:val="none"/>
        </w:rP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rPr>
          <w:highlight w:val="none"/>
        </w:rPr>
      </w:r>
    </w:p>
    <w:p>
      <w:pPr>
        <w:ind w:firstLine="477"/>
        <w:pageBreakBefore w:val="0"/>
        <w:spacing w:line="240" w:lineRule="auto"/>
        <w:tabs>
          <w:tab w:val="left" w:pos="900" w:leader="none"/>
        </w:tabs>
        <w:rPr>
          <w:rFonts w:hint="default" w:ascii="宋体" w:hAnsi="宋体" w:cs="宋体"/>
          <w:b/>
          <w:bCs/>
          <w:color w:val="auto"/>
          <w:sz w:val="24"/>
          <w:szCs w:val="24"/>
          <w:highlight w:val="none"/>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rPr>
          <w:highlight w:val="none"/>
        </w:rPr>
      </w:r>
    </w:p>
    <w:p>
      <w:pPr>
        <w:ind w:firstLine="361"/>
        <w:jc w:val="left"/>
        <w:pageBreakBefore w:val="0"/>
        <w:spacing w:before="120" w:after="120" w:line="240" w:lineRule="auto"/>
        <w:rPr>
          <w:rFonts w:hint="eastAsia" w:ascii="宋体" w:hAnsi="宋体" w:eastAsia="宋体" w:cs="宋体"/>
          <w:b/>
          <w:bCs/>
          <w:color w:val="auto"/>
          <w:sz w:val="24"/>
          <w:szCs w:val="24"/>
          <w:highlight w:val="none"/>
        </w:rPr>
        <w:outlineLvl w:val="9"/>
      </w:pPr>
      <w:r>
        <w:rPr>
          <w:highlight w:val="none"/>
        </w:rPr>
      </w:r>
      <w:bookmarkStart w:id="370" w:name="_Toc20672"/>
      <w:r>
        <w:rPr>
          <w:highlight w:val="none"/>
        </w:rPr>
      </w:r>
      <w:bookmarkStart w:id="371" w:name="_Toc24376"/>
      <w:r>
        <w:rPr>
          <w:highlight w:val="none"/>
        </w:rPr>
      </w:r>
      <w:bookmarkStart w:id="372"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70"/>
      <w:r>
        <w:rPr>
          <w:highlight w:val="none"/>
        </w:rPr>
      </w:r>
      <w:bookmarkEnd w:id="371"/>
      <w:r>
        <w:rPr>
          <w:highlight w:val="none"/>
        </w:rPr>
      </w:r>
      <w:bookmarkEnd w:id="372"/>
      <w:r>
        <w:rPr>
          <w:highlight w:val="none"/>
        </w:rPr>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rPr>
          <w:highlight w:val="none"/>
        </w:rPr>
      </w:r>
    </w:p>
    <w:p>
      <w:pPr>
        <w:ind w:firstLine="361"/>
        <w:jc w:val="left"/>
        <w:pageBreakBefore w:val="0"/>
        <w:spacing w:before="120" w:after="120" w:line="240" w:lineRule="auto"/>
        <w:rPr>
          <w:rFonts w:hint="eastAsia" w:ascii="宋体" w:hAnsi="宋体" w:eastAsia="宋体" w:cs="宋体"/>
          <w:b/>
          <w:bCs/>
          <w:color w:val="auto"/>
          <w:sz w:val="24"/>
          <w:szCs w:val="24"/>
          <w:highlight w:val="none"/>
        </w:rPr>
        <w:outlineLvl w:val="9"/>
      </w:pPr>
      <w:r>
        <w:rPr>
          <w:highlight w:val="none"/>
        </w:rPr>
      </w:r>
      <w:bookmarkStart w:id="373" w:name="_Toc22905"/>
      <w:r>
        <w:rPr>
          <w:highlight w:val="none"/>
        </w:rPr>
      </w:r>
      <w:bookmarkStart w:id="374" w:name="_Toc31550"/>
      <w:r>
        <w:rPr>
          <w:highlight w:val="none"/>
        </w:rPr>
      </w:r>
      <w:bookmarkStart w:id="375" w:name="_Toc28930"/>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3"/>
      <w:r>
        <w:rPr>
          <w:highlight w:val="none"/>
        </w:rPr>
      </w:r>
      <w:bookmarkEnd w:id="374"/>
      <w:r>
        <w:rPr>
          <w:highlight w:val="none"/>
        </w:rPr>
      </w:r>
      <w:bookmarkEnd w:id="375"/>
      <w:r>
        <w:rPr>
          <w:highlight w:val="none"/>
        </w:rPr>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rPr>
          <w:highlight w:val="none"/>
        </w:rP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rPr>
          <w:highlight w:val="none"/>
        </w:rP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rPr>
        <w:outlineLvl w:val="1"/>
      </w:pPr>
      <w:r>
        <w:rPr>
          <w:highlight w:val="none"/>
        </w:rPr>
      </w:r>
      <w:bookmarkStart w:id="376" w:name="_Toc1035"/>
      <w:r>
        <w:rPr>
          <w:highlight w:val="none"/>
        </w:rPr>
      </w:r>
      <w:bookmarkStart w:id="377" w:name="_Toc29696"/>
      <w:r>
        <w:rPr>
          <w:highlight w:val="none"/>
        </w:rPr>
      </w:r>
      <w:bookmarkStart w:id="378" w:name="_Toc20552"/>
      <w:r>
        <w:rPr>
          <w:highlight w:val="none"/>
        </w:rPr>
      </w:r>
      <w:bookmarkStart w:id="379" w:name="_Toc2151"/>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6"/>
      <w:r>
        <w:rPr>
          <w:highlight w:val="none"/>
        </w:rPr>
      </w:r>
      <w:bookmarkEnd w:id="377"/>
      <w:r>
        <w:rPr>
          <w:highlight w:val="none"/>
        </w:rPr>
      </w:r>
      <w:bookmarkEnd w:id="378"/>
      <w:r>
        <w:rPr>
          <w:highlight w:val="none"/>
        </w:rPr>
      </w:r>
      <w:bookmarkEnd w:id="379"/>
      <w:r>
        <w:rPr>
          <w:highlight w:val="none"/>
        </w:rPr>
      </w:r>
      <w:r>
        <w:rPr>
          <w:highlight w:val="none"/>
        </w:rP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rPr>
        <w:outlineLvl w:val="9"/>
      </w:pPr>
      <w:r>
        <w:rPr>
          <w:highlight w:val="none"/>
        </w:rPr>
      </w:r>
      <w:bookmarkStart w:id="380" w:name="_Toc24573"/>
      <w:r>
        <w:rPr>
          <w:rFonts w:hint="eastAsia" w:ascii="宋体" w:hAnsi="宋体" w:eastAsia="宋体" w:cs="Times New Roman"/>
          <w:b/>
          <w:bCs/>
          <w:color w:val="auto"/>
          <w:sz w:val="24"/>
          <w:szCs w:val="24"/>
          <w:highlight w:val="none"/>
          <w:lang w:eastAsia="zh-CN"/>
        </w:rPr>
        <w:t xml:space="preserve">1.小微型企业价格扣除</w:t>
      </w:r>
      <w:bookmarkEnd w:id="380"/>
      <w:r>
        <w:rPr>
          <w:highlight w:val="none"/>
        </w:rPr>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的扣除价格，用扣除后的价格参与评审。</w:t>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（2）供应商需按照采购文件的要求提供相应的《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rPr>
          <w:highlight w:val="none"/>
        </w:rP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rPr>
        <w:outlineLvl w:val="9"/>
      </w:pPr>
      <w:r>
        <w:rPr>
          <w:highlight w:val="none"/>
        </w:rPr>
      </w:r>
      <w:bookmarkStart w:id="381" w:name="_Toc13263"/>
      <w:r>
        <w:rPr>
          <w:rFonts w:hint="eastAsia" w:ascii="宋体" w:hAnsi="宋体" w:eastAsia="宋体" w:cs="Times New Roman"/>
          <w:b/>
          <w:bCs/>
          <w:color w:val="auto"/>
          <w:sz w:val="24"/>
          <w:szCs w:val="24"/>
          <w:highlight w:val="none"/>
          <w:lang w:eastAsia="zh-CN"/>
        </w:rPr>
        <w:t xml:space="preserve">2.残疾人福利单位价格扣除</w:t>
      </w:r>
      <w:bookmarkEnd w:id="381"/>
      <w:r>
        <w:rPr>
          <w:highlight w:val="none"/>
        </w:rPr>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（2）残疾人福利单位需按照采购文件的要求提供《残疾人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rPr>
          <w:highlight w:val="none"/>
        </w:rP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rPr>
        <w:outlineLvl w:val="9"/>
      </w:pPr>
      <w:r>
        <w:rPr>
          <w:highlight w:val="none"/>
        </w:rPr>
      </w:r>
      <w:bookmarkStart w:id="382" w:name="_Toc20871"/>
      <w:r>
        <w:rPr>
          <w:rFonts w:hint="eastAsia" w:ascii="宋体" w:hAnsi="宋体" w:eastAsia="宋体" w:cs="Times New Roman"/>
          <w:b/>
          <w:bCs/>
          <w:color w:val="auto"/>
          <w:sz w:val="24"/>
          <w:szCs w:val="24"/>
          <w:highlight w:val="none"/>
          <w:lang w:eastAsia="zh-CN"/>
        </w:rPr>
        <w:t xml:space="preserve">3.监狱和戒毒企业价格扣除</w:t>
      </w:r>
      <w:bookmarkEnd w:id="382"/>
      <w:r>
        <w:rPr>
          <w:highlight w:val="none"/>
        </w:rPr>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rPr>
          <w:highlight w:val="none"/>
        </w:rPr>
      </w:r>
    </w:p>
    <w:p>
      <w:pPr>
        <w:ind w:firstLine="360"/>
        <w:jc w:val="left"/>
        <w:pageBreakBefore w:val="0"/>
        <w:spacing w:before="120" w:after="120"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rPr>
          <w:highlight w:val="none"/>
        </w:rP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rPr>
          <w:highlight w:val="none"/>
        </w:rP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highlight w:val="none"/>
        </w:rP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eastAsia="zh-CN"/>
        </w:rPr>
        <w:t xml:space="preserve">6.联合体各方均为小型、微型企业（残疾人福利单位、监狱企业）的，联合体享受10%价格扣除，用扣除后的价格参与评审。</w:t>
      </w:r>
      <w:r>
        <w:rPr>
          <w:highlight w:val="none"/>
        </w:rP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rPr>
          <w:highlight w:val="none"/>
        </w:rPr>
      </w:r>
    </w:p>
    <w:p>
      <w:pPr>
        <w:ind w:firstLine="361"/>
        <w:jc w:val="left"/>
        <w:pageBreakBefore w:val="0"/>
        <w:spacing w:before="120" w:after="120" w:line="240" w:lineRule="auto"/>
        <w:rPr>
          <w:rFonts w:hint="eastAsia" w:ascii="宋体" w:hAnsi="宋体" w:eastAsia="宋体" w:cs="Times New Roman"/>
          <w:b w:val="0"/>
          <w:bCs w:val="0"/>
          <w:color w:val="auto"/>
          <w:sz w:val="24"/>
          <w:szCs w:val="24"/>
          <w:highlight w:val="none"/>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rPr>
          <w:highlight w:val="none"/>
        </w:rPr>
      </w:r>
    </w:p>
    <w:p>
      <w:pP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clear="all"/>
      </w:r>
      <w:r>
        <w:rPr>
          <w:highlight w:val="none"/>
        </w:rPr>
      </w:r>
    </w:p>
    <w:p>
      <w:pPr>
        <w:jc w:val="left"/>
        <w:pageBreakBefore w:val="0"/>
        <w:spacing w:before="120" w:after="120" w:line="240" w:lineRule="auto"/>
        <w:rPr>
          <w:rFonts w:hint="eastAsia" w:ascii="宋体" w:hAnsi="宋体" w:eastAsia="宋体" w:cs="宋体"/>
          <w:b/>
          <w:bCs/>
          <w:color w:val="auto"/>
          <w:sz w:val="24"/>
          <w:szCs w:val="24"/>
          <w:highlight w:val="none"/>
        </w:rPr>
        <w:outlineLvl w:val="1"/>
      </w:pPr>
      <w:r>
        <w:rPr>
          <w:highlight w:val="none"/>
        </w:rPr>
      </w:r>
      <w:bookmarkStart w:id="383" w:name="_Toc29185"/>
      <w:r>
        <w:rPr>
          <w:highlight w:val="none"/>
        </w:rPr>
      </w:r>
      <w:bookmarkStart w:id="384" w:name="_Toc3701"/>
      <w:r>
        <w:rPr>
          <w:highlight w:val="none"/>
        </w:rPr>
      </w:r>
      <w:bookmarkStart w:id="385" w:name="_Toc8469"/>
      <w:r>
        <w:rPr>
          <w:highlight w:val="none"/>
        </w:rPr>
      </w:r>
      <w:bookmarkStart w:id="386" w:name="_Toc12996"/>
      <w:r>
        <w:rPr>
          <w:rFonts w:hint="eastAsia" w:ascii="宋体" w:hAnsi="宋体" w:eastAsia="宋体" w:cs="宋体"/>
          <w:b/>
          <w:bCs/>
          <w:color w:val="auto"/>
          <w:sz w:val="24"/>
          <w:szCs w:val="24"/>
          <w:highlight w:val="none"/>
          <w:lang w:val="en-US" w:eastAsia="zh-CN"/>
        </w:rPr>
        <w:t xml:space="preserve">三、评审标准</w:t>
      </w:r>
      <w:bookmarkEnd w:id="383"/>
      <w:r>
        <w:rPr>
          <w:highlight w:val="none"/>
        </w:rPr>
      </w:r>
      <w:bookmarkEnd w:id="384"/>
      <w:r>
        <w:rPr>
          <w:highlight w:val="none"/>
        </w:rPr>
      </w:r>
      <w:bookmarkEnd w:id="385"/>
      <w:r>
        <w:rPr>
          <w:highlight w:val="none"/>
        </w:rPr>
      </w:r>
      <w:bookmarkEnd w:id="386"/>
      <w:r>
        <w:rPr>
          <w:highlight w:val="none"/>
        </w:rPr>
      </w:r>
      <w:r>
        <w:rPr>
          <w:highlight w:val="none"/>
        </w:rPr>
      </w:r>
    </w:p>
    <w:p>
      <w:pPr>
        <w:numPr>
          <w:ilvl w:val="0"/>
          <w:numId w:val="0"/>
        </w:numPr>
        <w:jc w:val="left"/>
        <w:pageBreakBefore w:val="0"/>
        <w:spacing w:line="240" w:lineRule="auto"/>
        <w:rPr>
          <w:rFonts w:hint="eastAsia" w:ascii="宋体" w:hAnsi="宋体" w:eastAsia="宋体" w:cs="宋体"/>
          <w:b/>
          <w:color w:val="auto"/>
          <w:szCs w:val="21"/>
          <w:highlight w:val="none"/>
        </w:rPr>
        <w:outlineLvl w:val="2"/>
      </w:pPr>
      <w:r>
        <w:rPr>
          <w:highlight w:val="none"/>
        </w:rPr>
      </w:r>
      <w:bookmarkStart w:id="387" w:name="_Toc10391"/>
      <w:r>
        <w:rPr>
          <w:highlight w:val="none"/>
        </w:rPr>
      </w:r>
      <w:bookmarkStart w:id="388" w:name="_Toc5152"/>
      <w:r>
        <w:rPr>
          <w:highlight w:val="none"/>
        </w:rPr>
      </w:r>
      <w:bookmarkStart w:id="389" w:name="_Toc14998"/>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7"/>
      <w:r>
        <w:rPr>
          <w:highlight w:val="none"/>
        </w:rPr>
      </w:r>
      <w:bookmarkEnd w:id="388"/>
      <w:r>
        <w:rPr>
          <w:highlight w:val="none"/>
        </w:rPr>
      </w:r>
      <w:bookmarkEnd w:id="389"/>
      <w:r>
        <w:rPr>
          <w:highlight w:val="none"/>
        </w:rPr>
      </w:r>
      <w:r>
        <w:rPr>
          <w:highlight w:val="none"/>
        </w:rPr>
      </w:r>
    </w:p>
    <w:tbl>
      <w:tblPr>
        <w:tblStyle w:val="1080"/>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rPr>
                <w:highlight w:val="none"/>
              </w:rP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rPr>
                <w:highlight w:val="none"/>
              </w:rP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rPr>
                <w:highlight w:val="none"/>
              </w:rP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1.2具有良好的商业信誉和健全的财务会计制度（提供2023或2024年度经审计的财务报告，或企业编制的会计报表，或响应截止时间前6个月内银行出具的资信证明）（复印件）（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rPr>
                <w:highlight w:val="none"/>
              </w:rP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rPr>
                <w:highlight w:val="none"/>
              </w:rP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rPr>
                <w:highlight w:val="none"/>
              </w:rP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rPr>
                <w:highlight w:val="none"/>
              </w:rPr>
            </w:r>
          </w:p>
        </w:tc>
      </w:tr>
      <w:tr>
        <w:trPr>
          <w:trHeight w:val="155"/>
          <w:tblHeader/>
        </w:trPr>
        <w:tc>
          <w:tcPr>
            <w:shd w:val="clear" w:color="auto" w:fill="auto"/>
            <w:tcW w:w="2023"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color w:val="auto"/>
                <w:sz w:val="24"/>
                <w:szCs w:val="24"/>
                <w:highlight w:val="none"/>
                <w:lang w:val="en-US" w:eastAsia="zh-CN"/>
              </w:rPr>
              <w:t xml:space="preserve">落实政府采购政策</w:t>
            </w:r>
            <w:r>
              <w:rPr>
                <w:highlight w:val="none"/>
              </w:rPr>
            </w:r>
          </w:p>
        </w:tc>
        <w:tc>
          <w:tcPr>
            <w:shd w:val="clear" w:color="auto" w:fill="auto"/>
            <w:tcW w:w="6759"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color w:val="auto"/>
                <w:sz w:val="24"/>
                <w:szCs w:val="24"/>
                <w:highlight w:val="none"/>
                <w:lang w:val="en-US" w:eastAsia="zh-CN"/>
              </w:rPr>
              <w:t xml:space="preserve">本项目为专门面向中小企业采购，须提供《中小企业声明函》《残疾人福利性单位声明函》或监狱和戒毒企业证明材料。</w:t>
            </w:r>
            <w:r>
              <w:rPr>
                <w:highlight w:val="none"/>
              </w:rPr>
            </w:r>
          </w:p>
        </w:tc>
      </w:tr>
      <w:tr>
        <w:trPr>
          <w:trHeight w:val="612"/>
          <w:tblHeader/>
        </w:trPr>
        <w:tc>
          <w:tcPr>
            <w:tcW w:w="2023" w:type="dxa"/>
            <w:vAlign w:val="center"/>
            <w:textDirection w:val="lrTb"/>
            <w:noWrap w:val="false"/>
          </w:tcPr>
          <w:p>
            <w:pPr>
              <w:jc w:val="center"/>
              <w:pageBreakBefore w:val="0"/>
              <w:spacing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特定资格要求</w:t>
            </w:r>
            <w:r>
              <w:rPr>
                <w:highlight w:val="none"/>
              </w:rPr>
            </w:r>
          </w:p>
        </w:tc>
        <w:tc>
          <w:tcPr>
            <w:tcW w:w="6759" w:type="dxa"/>
            <w:vAlign w:val="center"/>
            <w:textDirection w:val="lrTb"/>
            <w:noWrap w:val="false"/>
          </w:tcPr>
          <w:p>
            <w:pPr>
              <w:numPr>
                <w:ilvl w:val="0"/>
                <w:numId w:val="0"/>
              </w:numPr>
              <w:pageBreakBefore w:val="0"/>
              <w:spacing w:line="240" w:lineRule="auto"/>
              <w:tabs>
                <w:tab w:val="left" w:pos="1238" w:leader="none"/>
              </w:tabs>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无</w:t>
            </w:r>
            <w:r>
              <w:rPr>
                <w:highlight w:val="none"/>
              </w:rPr>
            </w:r>
          </w:p>
        </w:tc>
      </w:tr>
    </w:tbl>
    <w:p>
      <w:pPr>
        <w:pageBreakBefore w:val="0"/>
        <w:spacing w:line="240" w:lineRule="auto"/>
        <w:rPr>
          <w:rFonts w:hint="eastAsia"/>
          <w:color w:val="auto"/>
          <w:highlight w:val="none"/>
        </w:rPr>
      </w:pPr>
      <w:r>
        <w:rPr>
          <w:rFonts w:hint="eastAsia" w:ascii="宋体" w:hAnsi="宋体" w:eastAsia="宋体" w:cs="Times New Roman"/>
          <w:b/>
          <w:bCs/>
          <w:color w:val="auto"/>
          <w:sz w:val="24"/>
          <w:szCs w:val="24"/>
          <w:highlight w:val="none"/>
          <w:lang w:val="en-US" w:eastAsia="zh-CN"/>
        </w:rPr>
        <w:br w:type="page" w:clear="all"/>
      </w:r>
      <w:r>
        <w:rPr>
          <w:highlight w:val="none"/>
        </w:rPr>
      </w:r>
    </w:p>
    <w:p>
      <w:pPr>
        <w:numPr>
          <w:ilvl w:val="0"/>
          <w:numId w:val="0"/>
        </w:numPr>
        <w:jc w:val="left"/>
        <w:pageBreakBefore w:val="0"/>
        <w:spacing w:line="240" w:lineRule="auto"/>
        <w:rPr>
          <w:rFonts w:hint="default" w:ascii="宋体" w:hAnsi="宋体" w:eastAsia="宋体" w:cs="Times New Roman"/>
          <w:b/>
          <w:bCs/>
          <w:color w:val="auto"/>
          <w:sz w:val="24"/>
          <w:szCs w:val="24"/>
          <w:highlight w:val="none"/>
        </w:rPr>
        <w:outlineLvl w:val="2"/>
      </w:pPr>
      <w:r>
        <w:rPr>
          <w:highlight w:val="none"/>
        </w:rPr>
      </w:r>
      <w:bookmarkStart w:id="390" w:name="_Toc17599"/>
      <w:r>
        <w:rPr>
          <w:highlight w:val="none"/>
        </w:rPr>
      </w:r>
      <w:bookmarkStart w:id="391" w:name="_Toc4560"/>
      <w:r>
        <w:rPr>
          <w:highlight w:val="none"/>
        </w:rPr>
      </w:r>
      <w:bookmarkStart w:id="392" w:name="_Toc30364"/>
      <w:r>
        <w:rPr>
          <w:rFonts w:hint="eastAsia" w:ascii="宋体" w:hAnsi="宋体" w:eastAsia="宋体" w:cs="Times New Roman"/>
          <w:b/>
          <w:bCs/>
          <w:color w:val="auto"/>
          <w:sz w:val="24"/>
          <w:szCs w:val="24"/>
          <w:highlight w:val="none"/>
          <w:lang w:val="en-US" w:eastAsia="zh-CN"/>
        </w:rPr>
        <w:t xml:space="preserve">2.符合性审查标准</w:t>
      </w:r>
      <w:bookmarkEnd w:id="390"/>
      <w:r>
        <w:rPr>
          <w:highlight w:val="none"/>
        </w:rPr>
      </w:r>
      <w:bookmarkEnd w:id="391"/>
      <w:r>
        <w:rPr>
          <w:highlight w:val="none"/>
        </w:rPr>
      </w:r>
      <w:bookmarkEnd w:id="392"/>
      <w:r>
        <w:rPr>
          <w:highlight w:val="none"/>
        </w:rPr>
      </w:r>
      <w:r>
        <w:rPr>
          <w:highlight w:val="none"/>
        </w:rPr>
      </w:r>
    </w:p>
    <w:tbl>
      <w:tblPr>
        <w:tblStyle w:val="1080"/>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rPr>
                <w:highlight w:val="none"/>
              </w:rP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rPr>
                <w:highlight w:val="none"/>
              </w:rP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报价要求</w:t>
            </w:r>
            <w:r>
              <w:rPr>
                <w:highlight w:val="none"/>
              </w:rP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rPr>
                <w:highlight w:val="none"/>
              </w:rP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商务要求</w:t>
            </w:r>
            <w:r>
              <w:rPr>
                <w:highlight w:val="none"/>
              </w:rP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须按磋商文件的内容、格式、签章等要求提交。</w:t>
            </w:r>
            <w:r>
              <w:rPr>
                <w:highlight w:val="none"/>
              </w:rP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highlight w:val="none"/>
              </w:rP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highlight w:val="none"/>
              </w:rP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和竞争性磋商文件规定的其他无效情形。</w:t>
            </w:r>
            <w:r>
              <w:rPr>
                <w:highlight w:val="none"/>
              </w:rP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商务要求不</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lang w:val="en-US" w:eastAsia="zh-CN"/>
              </w:rPr>
              <w:t xml:space="preserve">任何负偏离，须提供《商务响应承诺函》，否则</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无效。</w:t>
            </w:r>
            <w:r>
              <w:rPr>
                <w:highlight w:val="none"/>
              </w:rP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技术要求</w:t>
            </w:r>
            <w:r>
              <w:rPr>
                <w:highlight w:val="none"/>
              </w:rP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rPr>
                <w:highlight w:val="none"/>
              </w:rPr>
            </w:r>
          </w:p>
        </w:tc>
      </w:tr>
    </w:tbl>
    <w:p>
      <w:pPr>
        <w:jc w:val="left"/>
        <w:pageBreakBefore w:val="0"/>
        <w:spacing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highlight w:val="none"/>
        </w:rPr>
      </w:r>
    </w:p>
    <w:p>
      <w:pPr>
        <w:ind w:firstLine="241"/>
        <w:jc w:val="left"/>
        <w:pageBreakBefore w:val="0"/>
        <w:spacing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highlight w:val="none"/>
        </w:rPr>
      </w:r>
    </w:p>
    <w:p>
      <w:pPr>
        <w:ind w:firstLine="241"/>
        <w:jc w:val="left"/>
        <w:pageBreakBefore w:val="0"/>
        <w:spacing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highlight w:val="none"/>
        </w:rPr>
      </w:r>
    </w:p>
    <w:p>
      <w:pPr>
        <w:ind w:firstLine="241"/>
        <w:jc w:val="left"/>
        <w:pageBreakBefore w:val="0"/>
        <w:spacing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highlight w:val="none"/>
        </w:rPr>
      </w:r>
    </w:p>
    <w:p>
      <w:pPr>
        <w:pageBreakBefore w:val="0"/>
        <w:spacing w:line="240" w:lineRule="auto"/>
        <w:rPr>
          <w:rFonts w:hint="eastAsia" w:ascii="宋体" w:hAnsi="宋体" w:eastAsia="宋体" w:cs="Times New Roman"/>
          <w:b/>
          <w:bCs/>
          <w:color w:val="auto"/>
          <w:sz w:val="24"/>
          <w:szCs w:val="24"/>
          <w:highlight w:val="none"/>
        </w:rPr>
        <w:outlineLvl w:val="2"/>
      </w:pPr>
      <w:r>
        <w:rPr>
          <w:rFonts w:hint="eastAsia" w:ascii="宋体" w:hAnsi="宋体" w:eastAsia="宋体" w:cs="Times New Roman"/>
          <w:b/>
          <w:bCs/>
          <w:color w:val="auto"/>
          <w:sz w:val="24"/>
          <w:szCs w:val="24"/>
          <w:highlight w:val="none"/>
          <w:lang w:val="en-US" w:eastAsia="zh-CN"/>
        </w:rPr>
        <w:br w:type="page" w:clear="all"/>
      </w:r>
      <w:bookmarkStart w:id="393" w:name="_Toc29459"/>
      <w:r>
        <w:rPr>
          <w:highlight w:val="none"/>
        </w:rPr>
      </w:r>
      <w:bookmarkStart w:id="394" w:name="_Toc27771"/>
      <w:r>
        <w:rPr>
          <w:highlight w:val="none"/>
        </w:rPr>
      </w:r>
      <w:bookmarkStart w:id="395" w:name="_Toc24715"/>
      <w:r>
        <w:rPr>
          <w:rFonts w:hint="eastAsia" w:ascii="宋体" w:hAnsi="宋体" w:eastAsia="宋体" w:cs="Times New Roman"/>
          <w:b/>
          <w:bCs/>
          <w:color w:val="auto"/>
          <w:sz w:val="24"/>
          <w:szCs w:val="24"/>
          <w:highlight w:val="none"/>
          <w:lang w:val="en-US" w:eastAsia="zh-CN"/>
        </w:rPr>
        <w:t xml:space="preserve">3.综合评分标准</w:t>
      </w:r>
      <w:bookmarkEnd w:id="393"/>
      <w:r>
        <w:rPr>
          <w:highlight w:val="none"/>
        </w:rPr>
      </w:r>
      <w:bookmarkEnd w:id="394"/>
      <w:r>
        <w:rPr>
          <w:highlight w:val="none"/>
        </w:rPr>
      </w:r>
      <w:bookmarkEnd w:id="395"/>
      <w:r>
        <w:rPr>
          <w:highlight w:val="none"/>
        </w:rPr>
      </w:r>
      <w:r>
        <w:rPr>
          <w:highlight w:val="none"/>
        </w:rPr>
      </w:r>
    </w:p>
    <w:tbl>
      <w:tblPr>
        <w:tblStyle w:val="1096"/>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rPr>
                <w:highlight w:val="none"/>
              </w:rPr>
            </w:r>
          </w:p>
          <w:p>
            <w:pPr>
              <w:jc w:val="center"/>
              <w:spacing w:line="32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rPr>
                <w:highlight w:val="none"/>
              </w:rP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rPr>
                <w:highlight w:val="none"/>
              </w:rP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rPr>
                <w:highlight w:val="none"/>
              </w:rP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（30分）</w:t>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价格分采用低价优先法计算，即满足</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要求且投标价格最低的投标报价为评标基准价，其价格分为满分，其他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的价格分按照下列公式计算：</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价格分=（评标基准价/投标报价）×价格权值×100（小数点保留两位）</w:t>
            </w:r>
            <w:r>
              <w:rPr>
                <w:highlight w:val="none"/>
              </w:rP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rPr>
                <w:highlight w:val="none"/>
              </w:rP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分；</w:t>
            </w:r>
            <w:r>
              <w:rPr>
                <w:highlight w:val="none"/>
              </w:rP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2.（如有）加注“★”符号的关键条款不得偏离，否则响应无效；加注“▲”符号的重要指标，</w:t>
            </w:r>
            <w:r>
              <w:rPr>
                <w:rFonts w:hint="eastAsia" w:ascii="宋体" w:hAnsi="宋体" w:cs="宋体"/>
                <w:color w:val="auto"/>
                <w:sz w:val="24"/>
                <w:szCs w:val="24"/>
                <w:highlight w:val="none"/>
                <w:lang w:val="en-US" w:eastAsia="zh-CN"/>
              </w:rPr>
              <w:t xml:space="preserve">共3条，</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3.一般指标</w:t>
            </w:r>
            <w:r>
              <w:rPr>
                <w:rFonts w:hint="eastAsia" w:ascii="宋体" w:hAnsi="宋体" w:cs="宋体"/>
                <w:color w:val="auto"/>
                <w:sz w:val="24"/>
                <w:szCs w:val="24"/>
                <w:highlight w:val="none"/>
                <w:lang w:val="en-US" w:eastAsia="zh-CN"/>
              </w:rPr>
              <w:t xml:space="preserve">，共30条，</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u w:val="single"/>
                <w:lang w:val="en-US" w:eastAsia="zh-CN"/>
              </w:rPr>
              <w:t xml:space="preserve">注：</w:t>
            </w:r>
            <w:r>
              <w:rPr>
                <w:rFonts w:hint="eastAsia" w:ascii="宋体" w:hAnsi="宋体" w:eastAsia="宋体" w:cs="宋体"/>
                <w:b/>
                <w:bCs/>
                <w:color w:val="auto"/>
                <w:spacing w:val="3"/>
                <w:sz w:val="24"/>
                <w:szCs w:val="24"/>
                <w:highlight w:val="none"/>
                <w:u w:val="single"/>
              </w:rPr>
              <w:t xml:space="preserve">所有技术指标都应提供有效的佐证材料</w:t>
            </w:r>
            <w:r>
              <w:rPr>
                <w:rFonts w:hint="eastAsia" w:ascii="宋体" w:hAnsi="宋体" w:eastAsia="宋体" w:cs="宋体"/>
                <w:b/>
                <w:bCs/>
                <w:color w:val="auto"/>
                <w:sz w:val="24"/>
                <w:szCs w:val="24"/>
                <w:highlight w:val="none"/>
                <w:u w:val="single"/>
                <w:lang w:val="en-US" w:eastAsia="zh-CN"/>
              </w:rPr>
              <w:t xml:space="preserve">（如带有广告批准文号的设备彩页、铭牌、技术白皮书、产品使用说明书、注册证附表或具有CMA标识的检测报告等）</w:t>
            </w:r>
            <w:r>
              <w:rPr>
                <w:rFonts w:hint="eastAsia" w:ascii="宋体" w:hAnsi="宋体" w:eastAsia="宋体" w:cs="宋体"/>
                <w:b/>
                <w:bCs/>
                <w:color w:val="auto"/>
                <w:spacing w:val="3"/>
                <w:sz w:val="24"/>
                <w:szCs w:val="24"/>
                <w:highlight w:val="none"/>
                <w:u w:val="single"/>
              </w:rPr>
              <w:t xml:space="preserve">。</w:t>
            </w:r>
            <w:r>
              <w:rPr>
                <w:rFonts w:hint="eastAsia" w:ascii="宋体" w:hAnsi="宋体" w:eastAsia="宋体" w:cs="宋体"/>
                <w:b/>
                <w:bCs/>
                <w:color w:val="auto"/>
                <w:spacing w:val="3"/>
                <w:sz w:val="24"/>
                <w:szCs w:val="24"/>
                <w:highlight w:val="none"/>
                <w:u w:val="single"/>
              </w:rPr>
              <w:t xml:space="preserve">其中标注“★”或“▲”的技术指标必须提供有效的佐证材料，须在证明材料中显著标明，同时须在备注栏里标明具体查找位置或使用苏采云“响应点定位”功能定位，以便于磋商小组查找，否则磋商小组有权作负偏离处理。</w:t>
            </w:r>
            <w:r>
              <w:rPr>
                <w:highlight w:val="none"/>
              </w:rP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rPr>
                <w:highlight w:val="none"/>
              </w:rP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磋商小组根据投标文件中的业绩进行评审：提供</w:t>
            </w:r>
            <w:r>
              <w:rPr>
                <w:rFonts w:hint="eastAsia" w:ascii="宋体" w:hAnsi="宋体" w:eastAsia="宋体" w:cs="宋体"/>
                <w:b/>
                <w:bCs/>
                <w:color w:val="auto"/>
                <w:sz w:val="24"/>
                <w:szCs w:val="24"/>
                <w:highlight w:val="none"/>
                <w:lang w:val="en-US" w:eastAsia="zh-CN"/>
              </w:rPr>
              <w:t xml:space="preserve">近三年</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或该产品制造商</w:t>
            </w:r>
            <w:r>
              <w:rPr>
                <w:rFonts w:hint="eastAsia" w:ascii="宋体" w:hAnsi="宋体" w:eastAsia="宋体" w:cs="宋体"/>
                <w:b/>
                <w:bCs/>
                <w:color w:val="auto"/>
                <w:sz w:val="24"/>
                <w:szCs w:val="24"/>
                <w:highlight w:val="none"/>
                <w:lang w:val="en-US" w:eastAsia="zh-CN"/>
              </w:rPr>
              <w:t xml:space="preserve">同型号产品</w:t>
            </w:r>
            <w:r>
              <w:rPr>
                <w:rFonts w:hint="eastAsia" w:ascii="宋体" w:hAnsi="宋体" w:eastAsia="宋体" w:cs="宋体"/>
                <w:color w:val="auto"/>
                <w:sz w:val="24"/>
                <w:szCs w:val="24"/>
                <w:highlight w:val="none"/>
                <w:lang w:val="en-US" w:eastAsia="zh-CN"/>
              </w:rPr>
              <w:t xml:space="preserve">的销售合同，以</w:t>
            </w:r>
            <w:r>
              <w:rPr>
                <w:rFonts w:hint="eastAsia" w:ascii="宋体" w:hAnsi="宋体" w:eastAsia="宋体" w:cs="宋体"/>
                <w:b/>
                <w:bCs/>
                <w:color w:val="auto"/>
                <w:sz w:val="24"/>
                <w:szCs w:val="24"/>
                <w:highlight w:val="none"/>
                <w:lang w:val="en-US" w:eastAsia="zh-CN"/>
              </w:rPr>
              <w:t xml:space="preserve">合同签订时间</w:t>
            </w:r>
            <w:r>
              <w:rPr>
                <w:rFonts w:hint="eastAsia" w:ascii="宋体" w:hAnsi="宋体" w:eastAsia="宋体" w:cs="宋体"/>
                <w:color w:val="auto"/>
                <w:sz w:val="24"/>
                <w:szCs w:val="24"/>
                <w:highlight w:val="none"/>
                <w:lang w:val="en-US" w:eastAsia="zh-CN"/>
              </w:rPr>
              <w:t xml:space="preserve">为准，合同内容须体现与本项目相关内容，每提供一个得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highlight w:val="none"/>
              </w:rP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注：提供合同复印件并加盖公章，须在《业绩一览表》里注明规格型号、联系人、联系方式等信息，便于评委会需要时予以验证，否则视为未提供</w:t>
            </w:r>
            <w:r>
              <w:rPr>
                <w:rFonts w:hint="eastAsia" w:ascii="宋体" w:hAnsi="宋体" w:cs="宋体"/>
                <w:color w:val="auto"/>
                <w:sz w:val="24"/>
                <w:szCs w:val="24"/>
                <w:highlight w:val="none"/>
                <w:lang w:val="en-US" w:eastAsia="zh-CN"/>
              </w:rPr>
              <w:t xml:space="preserve">。</w:t>
            </w:r>
            <w:r>
              <w:rPr>
                <w:highlight w:val="none"/>
              </w:rP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w:t>
            </w:r>
            <w:r>
              <w:rPr>
                <w:highlight w:val="none"/>
              </w:rPr>
            </w:r>
          </w:p>
          <w:p>
            <w:pPr>
              <w:jc w:val="center"/>
              <w:keepLines w:val="0"/>
              <w:keepNext w:val="0"/>
              <w:pageBreakBefore w:val="0"/>
              <w:spacing w:line="320" w:lineRule="atLeast"/>
              <w:widowControl w:val="off"/>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在满足</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b/>
                <w:bCs/>
                <w:color w:val="auto"/>
                <w:sz w:val="24"/>
                <w:szCs w:val="24"/>
                <w:highlight w:val="none"/>
                <w:lang w:val="en-US" w:eastAsia="zh-CN"/>
              </w:rPr>
              <w:t xml:space="preserve">质保期要求的基础上</w:t>
            </w:r>
            <w:r>
              <w:rPr>
                <w:rFonts w:hint="eastAsia" w:ascii="宋体" w:hAnsi="宋体" w:eastAsia="宋体" w:cs="宋体"/>
                <w:color w:val="auto"/>
                <w:sz w:val="24"/>
                <w:szCs w:val="24"/>
                <w:highlight w:val="none"/>
                <w:lang w:val="en-US" w:eastAsia="zh-CN"/>
              </w:rPr>
              <w:t xml:space="preserve">，每增加1年质保期得1分，最多得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highlight w:val="none"/>
              </w:rP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rPr>
                <w:highlight w:val="none"/>
              </w:rP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rPr>
                <w:highlight w:val="none"/>
              </w:rP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rPr>
                <w:highlight w:val="none"/>
              </w:rP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供应商承诺（</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出具</w:t>
            </w:r>
            <w:r>
              <w:rPr>
                <w:rFonts w:hint="eastAsia" w:ascii="宋体" w:hAnsi="宋体" w:eastAsia="宋体" w:cs="宋体"/>
                <w:b/>
                <w:bCs/>
                <w:color w:val="auto"/>
                <w:sz w:val="24"/>
                <w:szCs w:val="24"/>
                <w:highlight w:val="none"/>
                <w:lang w:val="en-US" w:eastAsia="zh-CN"/>
              </w:rPr>
              <w:t xml:space="preserve">加盖CA电子签章的《承诺函》</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分，格式自拟，未提供不得分，内容包括但不限于：</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1.承诺所投型号非生产厂家临近停产或已停产的产品；</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2.承诺每项投标响应的参数都可作为验收的依据，参数验收时如果不能符合标书要求，</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将采购人已付合同价款全部退回；并承诺按投标价的10%作为违约金向采购人进行赔偿，在采购人退还仪器设备后，合同自动终止。</w:t>
            </w:r>
            <w:r>
              <w:rPr>
                <w:highlight w:val="none"/>
              </w:rPr>
            </w:r>
          </w:p>
        </w:tc>
      </w:tr>
      <w:tr>
        <w:trPr>
          <w:jc w:val="center"/>
          <w:trHeight w:val="201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cs="宋体"/>
                <w:b/>
                <w:bCs/>
                <w:color w:val="auto"/>
                <w:sz w:val="24"/>
                <w:szCs w:val="24"/>
                <w:highlight w:val="none"/>
                <w:u w:val="single"/>
                <w:lang w:val="en-US" w:eastAsia="zh-CN"/>
              </w:rPr>
              <w:t xml:space="preserve">实施</w:t>
            </w:r>
            <w:r>
              <w:rPr>
                <w:rFonts w:hint="eastAsia" w:ascii="宋体" w:hAnsi="宋体" w:eastAsia="宋体" w:cs="宋体"/>
                <w:b/>
                <w:bCs/>
                <w:color w:val="auto"/>
                <w:sz w:val="24"/>
                <w:szCs w:val="24"/>
                <w:highlight w:val="none"/>
                <w:u w:val="single"/>
              </w:rPr>
              <w:t xml:space="preserve">方案</w:t>
            </w:r>
            <w:r>
              <w:rPr>
                <w:rFonts w:hint="eastAsia" w:ascii="宋体" w:hAnsi="宋体" w:eastAsia="宋体" w:cs="宋体"/>
                <w:color w:val="auto"/>
                <w:sz w:val="24"/>
                <w:szCs w:val="24"/>
                <w:highlight w:val="none"/>
              </w:rPr>
              <w:t xml:space="preserve">的完整性及可实施性进行独立评审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color w:val="auto"/>
                <w:sz w:val="24"/>
                <w:szCs w:val="24"/>
                <w:highlight w:val="none"/>
              </w:rPr>
              <w:t xml:space="preserve">完全响应且符合采购人实际需求的得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rPr>
              <w:t xml:space="preserve">分，每有一处方案内容存在缺陷、不足或提供无关联性内容的扣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分，扣完为止。未提供服务方案的不得分。</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rPr>
                <w:highlight w:val="none"/>
              </w:rPr>
            </w:r>
          </w:p>
        </w:tc>
      </w:tr>
      <w:tr>
        <w:trPr>
          <w:jc w:val="center"/>
          <w:trHeight w:val="1374"/>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rPr>
                <w:highlight w:val="none"/>
              </w:rP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eastAsia="宋体" w:cs="宋体"/>
                <w:b/>
                <w:bCs w:val="0"/>
                <w:color w:val="auto"/>
                <w:sz w:val="24"/>
                <w:szCs w:val="24"/>
                <w:highlight w:val="none"/>
                <w:u w:val="single"/>
                <w:lang w:val="en-US" w:eastAsia="zh-CN"/>
              </w:rPr>
              <w:t xml:space="preserve">售后</w:t>
            </w:r>
            <w:r>
              <w:rPr>
                <w:rFonts w:hint="eastAsia" w:ascii="宋体" w:hAnsi="宋体" w:eastAsia="宋体" w:cs="宋体"/>
                <w:b/>
                <w:bCs w:val="0"/>
                <w:color w:val="auto"/>
                <w:sz w:val="24"/>
                <w:szCs w:val="24"/>
                <w:highlight w:val="none"/>
                <w:u w:val="single"/>
              </w:rPr>
              <w:t xml:space="preserve">服务方案</w:t>
            </w:r>
            <w:r>
              <w:rPr>
                <w:rFonts w:hint="eastAsia" w:ascii="宋体" w:hAnsi="宋体" w:eastAsia="宋体" w:cs="宋体"/>
                <w:bCs/>
                <w:color w:val="auto"/>
                <w:sz w:val="24"/>
                <w:szCs w:val="24"/>
                <w:highlight w:val="none"/>
              </w:rPr>
              <w:t xml:space="preserve">的完整性及可实施性进行独立评审，方案内容包括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rPr>
              <w:t xml:space="preserve">响应时间、人员保障、日常巡检、维修服务、应急处理、备件供应、</w:t>
            </w:r>
            <w:r>
              <w:rPr>
                <w:rFonts w:hint="eastAsia" w:ascii="宋体" w:hAnsi="宋体" w:eastAsia="宋体" w:cs="宋体"/>
                <w:b/>
                <w:bCs/>
                <w:i w:val="0"/>
                <w:iCs w:val="0"/>
                <w:color w:val="auto"/>
                <w:sz w:val="24"/>
                <w:szCs w:val="24"/>
                <w:highlight w:val="none"/>
                <w:u w:val="single"/>
              </w:rPr>
              <w:t xml:space="preserve">软件升级</w:t>
            </w:r>
            <w:r>
              <w:rPr>
                <w:rFonts w:hint="eastAsia" w:ascii="宋体" w:hAnsi="宋体" w:eastAsia="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系统扩展</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b/>
                <w:bCs/>
                <w:i w:val="0"/>
                <w:iCs w:val="0"/>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bCs/>
                <w:color w:val="auto"/>
                <w:sz w:val="24"/>
                <w:szCs w:val="24"/>
                <w:highlight w:val="none"/>
              </w:rPr>
              <w:t xml:space="preserve">完全响应且符合采购人实际需求的得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1.25</w:t>
            </w:r>
            <w:r>
              <w:rPr>
                <w:rFonts w:hint="eastAsia" w:ascii="宋体" w:hAnsi="宋体" w:eastAsia="宋体" w:cs="宋体"/>
                <w:bCs/>
                <w:color w:val="auto"/>
                <w:sz w:val="24"/>
                <w:szCs w:val="24"/>
                <w:highlight w:val="none"/>
              </w:rPr>
              <w:t xml:space="preserve">分，每有一处方案内容存在缺陷、不足或提供无关联性内容的扣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分，扣完为止。未提供服务方案的不得分。</w:t>
            </w:r>
            <w:r>
              <w:rPr>
                <w:rFonts w:hint="eastAsia" w:ascii="宋体" w:hAnsi="宋体" w:eastAsia="宋体" w:cs="宋体"/>
                <w:b/>
                <w:bCs/>
                <w:color w:val="auto"/>
                <w:sz w:val="24"/>
                <w:szCs w:val="24"/>
                <w:highlight w:val="none"/>
                <w:lang w:val="en-US" w:eastAsia="zh-CN"/>
              </w:rPr>
              <w:t xml:space="preserve">（缺陷或不满足同上描述）</w:t>
            </w:r>
            <w:r>
              <w:rPr>
                <w:highlight w:val="none"/>
              </w:rP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highlight w:val="none"/>
              </w:rPr>
            </w:r>
          </w:p>
        </w:tc>
        <w:tc>
          <w:tcPr>
            <w:tcW w:w="752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磋商小组根据供应商针对本项目提出的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的完整性及可实施性进行独立评审，方案内容应包括但不限于：</w:t>
            </w:r>
            <w:r>
              <w:rPr>
                <w:rFonts w:hint="eastAsia" w:ascii="宋体" w:hAnsi="宋体" w:eastAsia="宋体" w:cs="宋体"/>
                <w:b/>
                <w:bCs/>
                <w:i w:val="0"/>
                <w:iCs w:val="0"/>
                <w:color w:val="auto"/>
                <w:sz w:val="24"/>
                <w:szCs w:val="24"/>
                <w:highlight w:val="none"/>
                <w:u w:val="single"/>
                <w:lang w:val="en-US" w:eastAsia="zh-CN"/>
              </w:rPr>
              <w:t xml:space="preserve">培训计划、培训内容、人员安排、计划实施、效果考核等</w:t>
            </w:r>
            <w:r>
              <w:rPr>
                <w:rFonts w:hint="eastAsia" w:ascii="宋体" w:hAnsi="宋体" w:eastAsia="宋体" w:cs="宋体"/>
                <w:bCs/>
                <w:color w:val="auto"/>
                <w:sz w:val="24"/>
                <w:szCs w:val="24"/>
                <w:highlight w:val="none"/>
                <w:lang w:val="en-US" w:eastAsia="zh-CN"/>
              </w:rPr>
              <w:t xml:space="preserve">。按顺序逐条完全响应且符合采购人实际需求的得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分，每缺少一项内容扣</w:t>
            </w:r>
            <w:r>
              <w:rPr>
                <w:rFonts w:hint="eastAsia" w:ascii="宋体" w:hAnsi="宋体" w:cs="宋体"/>
                <w:color w:val="auto"/>
                <w:sz w:val="24"/>
                <w:szCs w:val="24"/>
                <w:highlight w:val="none"/>
                <w:lang w:val="en-US" w:eastAsia="zh-CN"/>
              </w:rPr>
              <w:t xml:space="preserve">1.25</w:t>
            </w:r>
            <w:r>
              <w:rPr>
                <w:rFonts w:hint="eastAsia" w:ascii="宋体" w:hAnsi="宋体" w:eastAsia="宋体" w:cs="宋体"/>
                <w:bCs/>
                <w:color w:val="auto"/>
                <w:sz w:val="24"/>
                <w:szCs w:val="24"/>
                <w:highlight w:val="none"/>
                <w:lang w:val="en-US" w:eastAsia="zh-CN"/>
              </w:rPr>
              <w:t xml:space="preserve">分，每有一处方案内容存在缺陷、不足或提供无关联性内容的扣0.5分，扣完为止。未提供培训方案的不得分。</w:t>
            </w:r>
            <w:r>
              <w:rPr>
                <w:rFonts w:hint="eastAsia" w:ascii="宋体" w:hAnsi="宋体" w:eastAsia="宋体" w:cs="宋体"/>
                <w:b/>
                <w:bCs w:val="0"/>
                <w:color w:val="auto"/>
                <w:sz w:val="24"/>
                <w:szCs w:val="24"/>
                <w:highlight w:val="none"/>
                <w:lang w:val="en-US" w:eastAsia="zh-CN"/>
              </w:rPr>
              <w:t xml:space="preserve">（缺陷或不满足同上描述）</w:t>
            </w:r>
            <w:r>
              <w:rPr>
                <w:highlight w:val="none"/>
              </w:rPr>
            </w:r>
          </w:p>
        </w:tc>
      </w:tr>
    </w:tbl>
    <w:p>
      <w:pPr>
        <w:pageBreakBefore w:val="0"/>
        <w:spacing w:line="240" w:lineRule="auto"/>
        <w:rPr>
          <w:rFonts w:hint="eastAsia"/>
          <w:color w:val="auto"/>
          <w:highlight w:val="none"/>
        </w:rPr>
      </w:pPr>
      <w:r>
        <w:rPr>
          <w:rFonts w:hint="eastAsia"/>
          <w:color w:val="auto"/>
          <w:highlight w:val="none"/>
          <w:lang w:val="en-US" w:eastAsia="zh-CN"/>
        </w:rPr>
      </w:r>
      <w:r>
        <w:rPr>
          <w:highlight w:val="none"/>
        </w:rPr>
      </w:r>
    </w:p>
    <w:p>
      <w:pPr>
        <w:jc w:val="left"/>
        <w:keepLines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highlight w:val="none"/>
        </w:rPr>
      </w:r>
    </w:p>
    <w:p>
      <w:pPr>
        <w:ind w:firstLine="480"/>
        <w:jc w:val="left"/>
        <w:keepLines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rPr>
          <w:highlight w:val="none"/>
        </w:rP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rPr>
          <w:highlight w:val="none"/>
        </w:rPr>
      </w:r>
    </w:p>
    <w:p>
      <w:pPr>
        <w:numPr>
          <w:ilvl w:val="0"/>
          <w:numId w:val="0"/>
        </w:numPr>
        <w:keepLines w:val="0"/>
        <w:pageBreakBefore w:val="0"/>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rPr>
          <w:highlight w:val="none"/>
        </w:rPr>
      </w:r>
    </w:p>
    <w:p>
      <w:pPr>
        <w:ind w:firstLine="480"/>
        <w:jc w:val="left"/>
        <w:keepLines w:val="0"/>
        <w:pageBreakBefore w:val="0"/>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rPr>
          <w:highlight w:val="none"/>
        </w:rPr>
      </w:r>
    </w:p>
    <w:p>
      <w:pPr>
        <w:ind w:firstLine="480"/>
        <w:jc w:val="left"/>
        <w:keepLines w:val="0"/>
        <w:pageBreakBefore w:val="0"/>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rPr>
          <w:highlight w:val="none"/>
        </w:rPr>
      </w:r>
    </w:p>
    <w:p>
      <w:pPr>
        <w:numPr>
          <w:ilvl w:val="0"/>
          <w:numId w:val="0"/>
        </w:numPr>
        <w:keepLines w:val="0"/>
        <w:pageBreakBefore w:val="0"/>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r>
      <w:r>
        <w:rPr>
          <w:highlight w:val="none"/>
        </w:rPr>
      </w:r>
    </w:p>
    <w:p>
      <w:pPr>
        <w:numPr>
          <w:ilvl w:val="0"/>
          <w:numId w:val="0"/>
        </w:numPr>
        <w:keepLines w:val="0"/>
        <w:pageBreakBefore w:val="0"/>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五、公告中标结果</w:t>
      </w:r>
      <w:r>
        <w:rPr>
          <w:highlight w:val="none"/>
        </w:rPr>
      </w:r>
    </w:p>
    <w:p>
      <w:pPr>
        <w:ind w:firstLine="480"/>
        <w:jc w:val="left"/>
        <w:keepLines w:val="0"/>
        <w:pageBreakBefore w:val="0"/>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rPr>
          <w:highlight w:val="none"/>
        </w:rPr>
      </w:r>
    </w:p>
    <w:p>
      <w:pPr>
        <w:numPr>
          <w:ilvl w:val="0"/>
          <w:numId w:val="0"/>
        </w:numPr>
        <w:keepLines w:val="0"/>
        <w:pageBreakBefore w:val="0"/>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r>
      <w:r>
        <w:rPr>
          <w:highlight w:val="none"/>
        </w:rPr>
      </w:r>
    </w:p>
    <w:p>
      <w:pPr>
        <w:numPr>
          <w:ilvl w:val="0"/>
          <w:numId w:val="0"/>
        </w:numPr>
        <w:keepLines w:val="0"/>
        <w:pageBreakBefore w:val="0"/>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rPr>
          <w:highlight w:val="none"/>
        </w:rPr>
      </w:r>
    </w:p>
    <w:p>
      <w:pPr>
        <w:ind w:firstLine="480"/>
        <w:jc w:val="left"/>
        <w:keepLines w:val="0"/>
        <w:pageBreakBefore w:val="0"/>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rPr>
          <w:highlight w:val="none"/>
        </w:rPr>
      </w:r>
    </w:p>
    <w:p>
      <w:pPr>
        <w:ind w:firstLine="480"/>
        <w:jc w:val="left"/>
        <w:keepLines w:val="0"/>
        <w:pageBreakBefore w:val="0"/>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rPr>
          <w:highlight w:val="none"/>
        </w:rPr>
      </w:r>
    </w:p>
    <w:p>
      <w:pPr>
        <w:ind w:firstLine="482"/>
        <w:jc w:val="left"/>
        <w:keepLines w:val="0"/>
        <w:pageBreakBefore w:val="0"/>
        <w:widowControl/>
        <w:rPr>
          <w:rFonts w:hint="eastAsia"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rPr>
          <w:highlight w:val="none"/>
        </w:rP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lang w:eastAsia="zh-CN"/>
        </w:rPr>
      </w:r>
      <w:r>
        <w:rPr>
          <w:highlight w:val="none"/>
        </w:rP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rPr>
        <w:outlineLvl w:val="9"/>
      </w:pPr>
      <w:r>
        <w:rPr>
          <w:rFonts w:hint="eastAsia" w:ascii="宋体" w:hAnsi="宋体" w:eastAsia="宋体" w:cs="宋体"/>
          <w:b/>
          <w:bCs/>
          <w:color w:val="auto"/>
          <w:sz w:val="24"/>
          <w:szCs w:val="24"/>
          <w:highlight w:val="none"/>
          <w:u w:val="single"/>
          <w:lang w:eastAsia="zh-CN"/>
        </w:rPr>
      </w:r>
      <w:r>
        <w:rPr>
          <w:highlight w:val="none"/>
        </w:rPr>
      </w:r>
    </w:p>
    <w:p>
      <w:pPr>
        <w:rPr>
          <w:rFonts w:hint="eastAsia" w:ascii="黑体" w:hAnsi="Times New Roman" w:eastAsia="黑体"/>
          <w:bCs/>
          <w:color w:val="auto"/>
          <w:sz w:val="44"/>
          <w:szCs w:val="28"/>
          <w:highlight w:val="none"/>
        </w:rPr>
      </w:pPr>
      <w:r>
        <w:rPr>
          <w:highlight w:val="none"/>
        </w:rPr>
      </w:r>
      <w:bookmarkStart w:id="396" w:name="_Toc7042"/>
      <w:r>
        <w:rPr>
          <w:highlight w:val="none"/>
        </w:rPr>
      </w:r>
      <w:bookmarkStart w:id="397" w:name="_Toc295"/>
      <w:r>
        <w:rPr>
          <w:highlight w:val="none"/>
        </w:rPr>
      </w:r>
      <w:bookmarkStart w:id="398" w:name="_Toc2952"/>
      <w:r>
        <w:rPr>
          <w:highlight w:val="none"/>
        </w:rPr>
      </w:r>
      <w:bookmarkStart w:id="399" w:name="_Toc29260"/>
      <w:r>
        <w:rPr>
          <w:highlight w:val="none"/>
        </w:rPr>
      </w:r>
      <w:bookmarkStart w:id="400" w:name="_Toc11420"/>
      <w:r>
        <w:rPr>
          <w:rFonts w:hint="eastAsia" w:ascii="黑体" w:hAnsi="Times New Roman" w:eastAsia="黑体"/>
          <w:bCs/>
          <w:color w:val="auto"/>
          <w:sz w:val="44"/>
          <w:szCs w:val="28"/>
          <w:highlight w:val="none"/>
        </w:rPr>
        <w:br w:type="page" w:clear="all"/>
      </w:r>
      <w:r>
        <w:rPr>
          <w:highlight w:val="none"/>
        </w:rPr>
      </w:r>
    </w:p>
    <w:p>
      <w:pPr>
        <w:jc w:val="center"/>
        <w:keepLines w:val="0"/>
        <w:keepNext/>
        <w:pageBreakBefore w:val="0"/>
        <w:spacing w:line="240" w:lineRule="auto"/>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rPr>
          <w:highlight w:val="none"/>
        </w:rP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rPr>
          <w:highlight w:val="none"/>
        </w:rPr>
      </w:r>
      <w:bookmarkStart w:id="401" w:name="_Toc10426"/>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w:t>
      </w:r>
      <w:bookmarkEnd w:id="305"/>
      <w:r>
        <w:rPr>
          <w:highlight w:val="none"/>
        </w:rPr>
      </w:r>
      <w:bookmarkEnd w:id="306"/>
      <w:r>
        <w:rPr>
          <w:highlight w:val="none"/>
        </w:rPr>
      </w:r>
      <w:bookmarkEnd w:id="307"/>
      <w:r>
        <w:rPr>
          <w:rFonts w:hint="eastAsia" w:ascii="黑体" w:hAnsi="Times New Roman" w:eastAsia="黑体"/>
          <w:bCs/>
          <w:color w:val="auto"/>
          <w:sz w:val="44"/>
          <w:szCs w:val="28"/>
          <w:highlight w:val="none"/>
        </w:rPr>
        <w:t xml:space="preserve">响应文件格式</w:t>
      </w:r>
      <w:bookmarkEnd w:id="396"/>
      <w:r>
        <w:rPr>
          <w:highlight w:val="none"/>
        </w:rPr>
      </w:r>
      <w:bookmarkEnd w:id="397"/>
      <w:r>
        <w:rPr>
          <w:highlight w:val="none"/>
        </w:rPr>
      </w:r>
      <w:bookmarkEnd w:id="398"/>
      <w:r>
        <w:rPr>
          <w:highlight w:val="none"/>
        </w:rPr>
      </w:r>
      <w:bookmarkEnd w:id="399"/>
      <w:r>
        <w:rPr>
          <w:highlight w:val="none"/>
        </w:rPr>
      </w:r>
      <w:bookmarkEnd w:id="400"/>
      <w:r>
        <w:rPr>
          <w:highlight w:val="none"/>
        </w:rPr>
      </w:r>
      <w:bookmarkEnd w:id="401"/>
      <w:r>
        <w:rPr>
          <w:highlight w:val="none"/>
        </w:rPr>
      </w:r>
      <w:r>
        <w:rPr>
          <w:highlight w:val="none"/>
        </w:rPr>
      </w:r>
    </w:p>
    <w:p>
      <w:pPr>
        <w:jc w:val="center"/>
        <w:pageBreakBefore w:val="0"/>
        <w:spacing w:line="240" w:lineRule="auto"/>
        <w:rPr>
          <w:rFonts w:hint="eastAsia" w:ascii="宋体" w:hAnsi="宋体"/>
          <w:b/>
          <w:color w:val="auto"/>
          <w:sz w:val="72"/>
          <w:szCs w:val="21"/>
          <w:highlight w:val="none"/>
        </w:rPr>
      </w:pPr>
      <w:r>
        <w:rPr>
          <w:highlight w:val="none"/>
        </w:rPr>
      </w:r>
      <w:bookmarkStart w:id="402" w:name="_Hlt26671244"/>
      <w:r>
        <w:rPr>
          <w:highlight w:val="none"/>
        </w:rPr>
      </w:r>
      <w:bookmarkEnd w:id="402"/>
      <w:r>
        <w:rPr>
          <w:highlight w:val="none"/>
        </w:rPr>
      </w:r>
      <w:bookmarkStart w:id="403" w:name="_Hlt26955039"/>
      <w:r>
        <w:rPr>
          <w:highlight w:val="none"/>
        </w:rPr>
      </w:r>
      <w:bookmarkEnd w:id="403"/>
      <w:r>
        <w:rPr>
          <w:highlight w:val="none"/>
        </w:rPr>
      </w:r>
      <w:bookmarkStart w:id="404" w:name="_Toc120614282"/>
      <w:r>
        <w:rPr>
          <w:highlight w:val="none"/>
        </w:rPr>
      </w:r>
      <w:bookmarkStart w:id="405" w:name="_Toc49090576"/>
      <w:r>
        <w:rPr>
          <w:highlight w:val="none"/>
        </w:rPr>
      </w:r>
      <w:bookmarkStart w:id="406" w:name="_Toc26554094"/>
      <w:r>
        <w:rPr>
          <w:highlight w:val="none"/>
        </w:rPr>
      </w:r>
      <w:r>
        <w:rPr>
          <w:highlight w:val="none"/>
        </w:rP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rPr>
          <w:highlight w:val="none"/>
        </w:rP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rPr>
          <w:highlight w:val="none"/>
        </w:rP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rPr>
          <w:highlight w:val="none"/>
        </w:rP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rPr>
          <w:highlight w:val="none"/>
        </w:rP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rPr>
          <w:highlight w:val="none"/>
        </w:rP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rPr>
          <w:highlight w:val="none"/>
        </w:rP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highlight w:val="none"/>
        </w:rP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highlight w:val="none"/>
        </w:rP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w:t>
      </w:r>
      <w:bookmarkStart w:id="407" w:name="_Toc3160"/>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bookmarkEnd w:id="407"/>
      <w:r>
        <w:rPr>
          <w:highlight w:val="none"/>
        </w:rPr>
      </w:r>
      <w:r>
        <w:rPr>
          <w:highlight w:val="none"/>
        </w:rP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rPr>
          <w:highlight w:val="none"/>
        </w:rPr>
      </w:r>
    </w:p>
    <w:p>
      <w:pPr>
        <w:ind w:firstLine="1084"/>
        <w:pageBreakBefore w:val="0"/>
        <w:spacing w:line="240" w:lineRule="auto"/>
        <w:rPr>
          <w:rFonts w:hint="default"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rPr>
          <w:highlight w:val="none"/>
        </w:rP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highlight w:val="none"/>
        </w:rP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rPr>
          <w:highlight w:val="none"/>
        </w:rPr>
      </w:r>
    </w:p>
    <w:p>
      <w:pPr>
        <w:pageBreakBefore w:val="0"/>
        <w:spacing w:line="240" w:lineRule="auto"/>
        <w:rPr>
          <w:rFonts w:ascii="宋体" w:hAnsi="宋体"/>
          <w:color w:val="auto"/>
          <w:szCs w:val="21"/>
          <w:highlight w:val="none"/>
        </w:rPr>
      </w:pPr>
      <w:r>
        <w:rPr>
          <w:rFonts w:ascii="宋体" w:hAnsi="宋体"/>
          <w:color w:val="auto"/>
          <w:szCs w:val="21"/>
          <w:highlight w:val="none"/>
        </w:rPr>
      </w:r>
      <w:r>
        <w:rPr>
          <w:highlight w:val="none"/>
        </w:rP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rPr>
          <w:highlight w:val="none"/>
        </w:rP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rPr>
          <w:highlight w:val="none"/>
        </w:rP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rPr>
          <w:highlight w:val="none"/>
        </w:rPr>
      </w:r>
    </w:p>
    <w:p>
      <w:pPr>
        <w:jc w:val="center"/>
        <w:pageBreakBefore w:val="0"/>
        <w:spacing w:line="240" w:lineRule="auto"/>
        <w:rPr>
          <w:rFonts w:hint="eastAsia" w:ascii="宋体" w:hAnsi="宋体" w:eastAsia="宋体"/>
          <w:b/>
          <w:bCs/>
          <w:color w:val="auto"/>
          <w:sz w:val="44"/>
          <w:szCs w:val="44"/>
          <w:highlight w:val="none"/>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rPr>
          <w:highlight w:val="none"/>
        </w:rP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highlight w:val="none"/>
        </w:rPr>
      </w:r>
    </w:p>
    <w:p>
      <w:pPr>
        <w:pageBreakBefore w:val="0"/>
        <w:spacing w:line="240" w:lineRule="auto"/>
        <w:rPr>
          <w:rFonts w:hint="eastAsia" w:ascii="Times New Roman" w:hAnsi="Times New Roman" w:eastAsia="宋体" w:cs="Times New Roman"/>
          <w:b/>
          <w:bCs/>
          <w:color w:val="auto"/>
          <w:sz w:val="28"/>
          <w:szCs w:val="28"/>
          <w:highlight w:val="none"/>
        </w:rPr>
        <w:outlineLvl w:val="1"/>
      </w:pPr>
      <w:r>
        <w:rPr>
          <w:highlight w:val="none"/>
        </w:rPr>
      </w:r>
      <w:bookmarkStart w:id="408" w:name="_Toc10597"/>
      <w:r>
        <w:rPr>
          <w:rFonts w:hint="eastAsia" w:ascii="Times New Roman" w:hAnsi="Times New Roman" w:eastAsia="宋体" w:cs="Times New Roman"/>
          <w:b/>
          <w:bCs/>
          <w:color w:val="auto"/>
          <w:sz w:val="28"/>
          <w:szCs w:val="28"/>
          <w:highlight w:val="none"/>
          <w:lang w:val="en-US" w:eastAsia="zh-CN" w:bidi="zh-CN"/>
        </w:rPr>
        <w:t xml:space="preserve">一、资格审查证明材料</w:t>
      </w:r>
      <w:bookmarkEnd w:id="408"/>
      <w:r>
        <w:rPr>
          <w:highlight w:val="none"/>
        </w:rPr>
      </w:r>
      <w:r>
        <w:rPr>
          <w:highlight w:val="none"/>
        </w:rP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highlight w:val="none"/>
        </w:rPr>
      </w:r>
      <w:bookmarkStart w:id="409" w:name="_Toc19330"/>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rPr>
          <w:highlight w:val="none"/>
        </w:rP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2.落实政府采购的政策：提供《中小企业声明函》等材料，详见附件10-12；</w:t>
      </w:r>
      <w:r>
        <w:rPr>
          <w:highlight w:val="none"/>
        </w:rPr>
      </w:r>
    </w:p>
    <w:p>
      <w:pPr>
        <w:ind w:firstLine="480"/>
        <w:keepLines w:val="0"/>
        <w:keepNext w:val="0"/>
        <w:pageBreakBefore w:val="0"/>
        <w:spacing w:line="240" w:lineRule="auto"/>
        <w:widowControl w:val="off"/>
        <w:rPr>
          <w:rFonts w:hint="eastAsia" w:ascii="宋体" w:hAnsi="宋体" w:eastAsia="宋体"/>
          <w:color w:val="auto"/>
          <w:sz w:val="24"/>
          <w:szCs w:val="24"/>
          <w:highlight w:val="none"/>
        </w:rPr>
        <w:outlineLvl w:val="9"/>
      </w:pPr>
      <w:r>
        <w:rPr>
          <w:rFonts w:hint="eastAsia" w:ascii="宋体" w:hAnsi="宋体"/>
          <w:color w:val="auto"/>
          <w:sz w:val="24"/>
          <w:szCs w:val="24"/>
          <w:highlight w:val="none"/>
        </w:rPr>
        <w:t xml:space="preserve">3.特定资格要求：</w:t>
      </w:r>
      <w:r>
        <w:rPr>
          <w:rFonts w:hint="eastAsia" w:ascii="宋体" w:hAnsi="宋体"/>
          <w:color w:val="auto"/>
          <w:sz w:val="24"/>
          <w:szCs w:val="24"/>
          <w:highlight w:val="none"/>
          <w:lang w:val="en-US" w:eastAsia="zh-CN"/>
        </w:rPr>
        <w:t xml:space="preserve">无</w:t>
      </w:r>
      <w:r>
        <w:rPr>
          <w:highlight w:val="none"/>
        </w:rP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4.其他需要提交的资格审查证明材料。</w:t>
      </w:r>
      <w:r>
        <w:rPr>
          <w:highlight w:val="none"/>
        </w:rPr>
      </w:r>
    </w:p>
    <w:p>
      <w:pPr>
        <w:pageBreakBefore w:val="0"/>
        <w:spacing w:line="240" w:lineRule="auto"/>
        <w:rPr>
          <w:rFonts w:hint="eastAsia" w:ascii="Times New Roman" w:hAnsi="Times New Roman" w:eastAsia="宋体" w:cs="Times New Roman"/>
          <w:b/>
          <w:bCs/>
          <w:color w:val="auto"/>
          <w:sz w:val="28"/>
          <w:szCs w:val="28"/>
          <w:highlight w:val="none"/>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bookmarkEnd w:id="409"/>
      <w:r>
        <w:rPr>
          <w:highlight w:val="none"/>
        </w:rPr>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响应承诺函（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rPr>
          <w:highlight w:val="none"/>
        </w:rPr>
      </w:r>
    </w:p>
    <w:p>
      <w:pPr>
        <w:ind w:firstLine="480"/>
        <w:pageBreakBefore w:val="0"/>
        <w:spacing w:line="240" w:lineRule="auto"/>
        <w:rPr>
          <w:rFonts w:hint="eastAsia" w:ascii="黑体" w:hAnsi="黑体" w:eastAsia="黑体"/>
          <w:color w:val="auto"/>
          <w:sz w:val="32"/>
          <w:szCs w:val="32"/>
          <w:highlight w:val="none"/>
        </w:rPr>
        <w:outlineLvl w:val="9"/>
      </w:pPr>
      <w:r>
        <w:rPr>
          <w:highlight w:val="none"/>
        </w:rPr>
      </w:r>
      <w:bookmarkStart w:id="410" w:name="_Toc20861"/>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bookmarkEnd w:id="410"/>
      <w:r>
        <w:rPr>
          <w:highlight w:val="none"/>
        </w:rPr>
      </w:r>
      <w:r>
        <w:rPr>
          <w:highlight w:val="none"/>
        </w:rPr>
      </w:r>
    </w:p>
    <w:p>
      <w:pPr>
        <w:pageBreakBefore w:val="0"/>
        <w:spacing w:line="240" w:lineRule="auto"/>
        <w:rPr>
          <w:rFonts w:hint="eastAsia" w:ascii="Times New Roman" w:hAnsi="Times New Roman" w:eastAsia="宋体" w:cs="Times New Roman"/>
          <w:b/>
          <w:bCs/>
          <w:color w:val="auto"/>
          <w:sz w:val="28"/>
          <w:szCs w:val="28"/>
          <w:highlight w:val="none"/>
        </w:rPr>
        <w:outlineLvl w:val="1"/>
      </w:pPr>
      <w:r>
        <w:rPr>
          <w:highlight w:val="none"/>
        </w:rPr>
      </w:r>
      <w:bookmarkStart w:id="411" w:name="_Toc17048"/>
      <w:r>
        <w:rPr>
          <w:rFonts w:hint="eastAsia" w:ascii="Times New Roman" w:hAnsi="Times New Roman" w:eastAsia="宋体" w:cs="Times New Roman"/>
          <w:b/>
          <w:bCs/>
          <w:color w:val="auto"/>
          <w:sz w:val="28"/>
          <w:szCs w:val="28"/>
          <w:highlight w:val="none"/>
          <w:lang w:val="en-US" w:eastAsia="zh-CN" w:bidi="zh-CN"/>
        </w:rPr>
        <w:t xml:space="preserve">三、价格标</w:t>
      </w:r>
      <w:bookmarkEnd w:id="411"/>
      <w:r>
        <w:rPr>
          <w:highlight w:val="none"/>
        </w:rPr>
      </w:r>
      <w:r>
        <w:rPr>
          <w:highlight w:val="none"/>
        </w:rPr>
      </w:r>
    </w:p>
    <w:p>
      <w:pPr>
        <w:ind w:firstLine="480"/>
        <w:pageBreakBefore w:val="0"/>
        <w:spacing w:line="24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highlight w:val="none"/>
        </w:rP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rPr>
          <w:highlight w:val="none"/>
        </w:rPr>
      </w:r>
    </w:p>
    <w:p>
      <w:pPr>
        <w:pageBreakBefore w:val="0"/>
        <w:spacing w:line="240" w:lineRule="auto"/>
        <w:rPr>
          <w:rFonts w:hint="eastAsia" w:ascii="Times New Roman" w:hAnsi="Times New Roman" w:eastAsia="宋体" w:cs="Times New Roman"/>
          <w:b/>
          <w:bCs/>
          <w:color w:val="auto"/>
          <w:sz w:val="28"/>
          <w:szCs w:val="28"/>
          <w:highlight w:val="none"/>
        </w:rPr>
        <w:outlineLvl w:val="1"/>
      </w:pPr>
      <w:r>
        <w:rPr>
          <w:highlight w:val="none"/>
        </w:rPr>
      </w:r>
      <w:bookmarkStart w:id="412" w:name="_Toc16398"/>
      <w:r>
        <w:rPr>
          <w:rFonts w:hint="eastAsia" w:ascii="Times New Roman" w:hAnsi="Times New Roman" w:eastAsia="宋体" w:cs="Times New Roman"/>
          <w:b/>
          <w:bCs/>
          <w:color w:val="auto"/>
          <w:sz w:val="28"/>
          <w:szCs w:val="28"/>
          <w:highlight w:val="none"/>
          <w:lang w:val="en-US" w:eastAsia="zh-CN" w:bidi="zh-CN"/>
        </w:rPr>
        <w:t xml:space="preserve">四、其他资料（如有）</w:t>
      </w:r>
      <w:bookmarkEnd w:id="412"/>
      <w:r>
        <w:rPr>
          <w:highlight w:val="none"/>
        </w:rPr>
      </w:r>
      <w:r>
        <w:rPr>
          <w:highlight w:val="none"/>
        </w:rPr>
      </w:r>
    </w:p>
    <w:p>
      <w:pPr>
        <w:contextualSpacing/>
        <w:pageBreakBefore w:val="0"/>
        <w:spacing w:line="240" w:lineRule="auto"/>
        <w:rPr>
          <w:rFonts w:ascii="Times New Roman" w:hAnsi="Times New Roman" w:eastAsia="方正黑体_GBK"/>
          <w:color w:val="auto"/>
          <w:sz w:val="32"/>
          <w:szCs w:val="32"/>
          <w:highlight w:val="none"/>
        </w:rPr>
        <w:outlineLvl w:val="2"/>
      </w:pPr>
      <w:r>
        <w:rPr>
          <w:rFonts w:ascii="宋体" w:hAnsi="宋体"/>
          <w:color w:val="auto"/>
          <w:sz w:val="24"/>
          <w:szCs w:val="21"/>
          <w:highlight w:val="none"/>
        </w:rPr>
        <w:br w:type="page" w:clear="all"/>
      </w:r>
      <w:bookmarkStart w:id="413" w:name="_Toc1929"/>
      <w:r>
        <w:rPr>
          <w:highlight w:val="none"/>
        </w:rPr>
      </w:r>
      <w:bookmarkStart w:id="414" w:name="_Toc2841"/>
      <w:r>
        <w:rPr>
          <w:highlight w:val="none"/>
        </w:rPr>
      </w:r>
      <w:bookmarkStart w:id="415" w:name="_Toc29088"/>
      <w:r>
        <w:rPr>
          <w:rFonts w:ascii="Times New Roman" w:hAnsi="Times New Roman" w:eastAsia="方正黑体_GBK"/>
          <w:color w:val="auto"/>
          <w:sz w:val="32"/>
          <w:szCs w:val="32"/>
          <w:highlight w:val="none"/>
          <w:lang w:val="zh-CN"/>
        </w:rPr>
        <w:t xml:space="preserve">附件1</w:t>
      </w:r>
      <w:bookmarkEnd w:id="413"/>
      <w:r>
        <w:rPr>
          <w:highlight w:val="none"/>
        </w:rPr>
      </w:r>
      <w:bookmarkEnd w:id="414"/>
      <w:r>
        <w:rPr>
          <w:highlight w:val="none"/>
        </w:rPr>
      </w:r>
      <w:bookmarkEnd w:id="415"/>
      <w:r>
        <w:rPr>
          <w:highlight w:val="none"/>
        </w:rPr>
      </w:r>
      <w:r>
        <w:rPr>
          <w:highlight w:val="none"/>
        </w:rP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rPr>
          <w:highlight w:val="none"/>
        </w:rP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rPr>
          <w:highlight w:val="none"/>
        </w:rP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rPr>
          <w:highlight w:val="none"/>
        </w:rP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rPr>
          <w:highlight w:val="none"/>
        </w:rP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rPr>
          <w:highlight w:val="none"/>
        </w:rP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rPr>
          <w:highlight w:val="none"/>
        </w:rP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rPr>
          <w:highlight w:val="none"/>
        </w:rP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2"/>
        <w:pageBreakBefore w:val="0"/>
        <w:spacing w:line="240" w:lineRule="auto"/>
        <w:rPr>
          <w:rFonts w:hint="eastAsia" w:ascii="宋体" w:hAnsi="宋体" w:eastAsia="宋体"/>
          <w:color w:val="auto"/>
          <w:sz w:val="24"/>
          <w:szCs w:val="24"/>
          <w:highlight w:val="none"/>
        </w:rPr>
        <w:outlineLvl w:val="9"/>
      </w:pPr>
      <w:r>
        <w:rPr>
          <w:highlight w:val="none"/>
        </w:rPr>
      </w:r>
      <w:bookmarkStart w:id="416" w:name="_Toc26310"/>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bookmarkEnd w:id="416"/>
      <w:r>
        <w:rPr>
          <w:highlight w:val="none"/>
        </w:rPr>
      </w:r>
      <w:r>
        <w:rPr>
          <w:highlight w:val="none"/>
        </w:rP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rPr>
          <w:highlight w:val="none"/>
        </w:rP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rPr>
          <w:highlight w:val="none"/>
        </w:rP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rPr>
          <w:highlight w:val="none"/>
        </w:rPr>
      </w:r>
    </w:p>
    <w:p>
      <w:pPr>
        <w:contextualSpacing/>
        <w:pageBreakBefore w:val="0"/>
        <w:spacing w:line="240" w:lineRule="auto"/>
        <w:rPr>
          <w:rFonts w:hint="eastAsia" w:ascii="Times New Roman" w:hAnsi="Times New Roman" w:eastAsia="方正黑体_GBK"/>
          <w:color w:val="auto"/>
          <w:sz w:val="32"/>
          <w:szCs w:val="32"/>
          <w:highlight w:val="none"/>
        </w:rPr>
        <w:outlineLvl w:val="2"/>
      </w:pPr>
      <w:r>
        <w:rPr>
          <w:rFonts w:ascii="宋体" w:hAnsi="宋体"/>
          <w:color w:val="auto"/>
          <w:sz w:val="24"/>
          <w:szCs w:val="21"/>
          <w:highlight w:val="none"/>
        </w:rPr>
        <w:br w:type="page" w:clear="all"/>
      </w:r>
      <w:bookmarkStart w:id="417" w:name="_Toc26107"/>
      <w:r>
        <w:rPr>
          <w:highlight w:val="none"/>
        </w:rPr>
      </w:r>
      <w:bookmarkStart w:id="418" w:name="_Toc20523"/>
      <w:r>
        <w:rPr>
          <w:highlight w:val="none"/>
        </w:rPr>
      </w:r>
      <w:bookmarkStart w:id="419" w:name="_Toc6700"/>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bookmarkEnd w:id="417"/>
      <w:r>
        <w:rPr>
          <w:highlight w:val="none"/>
        </w:rPr>
      </w:r>
      <w:bookmarkEnd w:id="418"/>
      <w:r>
        <w:rPr>
          <w:highlight w:val="none"/>
        </w:rPr>
      </w:r>
      <w:bookmarkEnd w:id="419"/>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rPr>
          <w:highlight w:val="none"/>
        </w:rP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rPr>
          <w:highlight w:val="none"/>
        </w:rP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/南通市第二人民医院</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highlight w:val="none"/>
        </w:rPr>
      </w:r>
      <w:bookmarkStart w:id="420" w:name="_Toc8601"/>
      <w:r>
        <w:rPr>
          <w:rFonts w:hint="eastAsia" w:ascii="宋体" w:hAnsi="宋体" w:eastAsia="宋体" w:cs="宋体"/>
          <w:color w:val="auto"/>
          <w:sz w:val="24"/>
          <w:szCs w:val="21"/>
          <w:highlight w:val="none"/>
        </w:rPr>
        <w:t xml:space="preserve">2.我们完全理解贵方不一定将合同授予最低报价的供应商。</w:t>
      </w:r>
      <w:bookmarkEnd w:id="420"/>
      <w:r>
        <w:rPr>
          <w:highlight w:val="none"/>
        </w:rPr>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并保证在磋商文件规定的时间完成项目，交付买方验收、使用。</w:t>
      </w:r>
      <w:r>
        <w:rPr>
          <w:highlight w:val="none"/>
        </w:rP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rPr>
      </w:pPr>
      <w:r>
        <w:rPr>
          <w:highlight w:val="none"/>
        </w:rPr>
      </w:r>
      <w:bookmarkStart w:id="421" w:name="_Toc24444"/>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rPr>
          <w:highlight w:val="none"/>
        </w:rP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rPr>
          <w:highlight w:val="none"/>
        </w:rP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.我方与本磋商有关的正式通讯地址为：</w:t>
      </w:r>
      <w:bookmarkEnd w:id="421"/>
      <w:r>
        <w:rPr>
          <w:highlight w:val="none"/>
        </w:rPr>
      </w:r>
      <w:r>
        <w:rPr>
          <w:highlight w:val="none"/>
        </w:rP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rPr>
          <w:highlight w:val="none"/>
        </w:rP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rPr>
          <w:highlight w:val="none"/>
        </w:rP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rPr>
          <w:highlight w:val="none"/>
        </w:rP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rPr>
          <w:highlight w:val="none"/>
        </w:rP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rPr>
          <w:highlight w:val="none"/>
        </w:rP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rPr>
          <w:highlight w:val="none"/>
        </w:rP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rPr>
          <w:highlight w:val="none"/>
        </w:rP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rPr>
          <w:highlight w:val="none"/>
        </w:rP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rPr>
          <w:highlight w:val="none"/>
        </w:rPr>
      </w:r>
    </w:p>
    <w:p>
      <w:pPr>
        <w:jc w:val="both"/>
        <w:pageBreakBefore w:val="0"/>
        <w:spacing w:before="145" w:after="145" w:line="240" w:lineRule="auto"/>
        <w:rPr>
          <w:rFonts w:hint="eastAsia" w:ascii="Times New Roman" w:hAnsi="Times New Roman" w:eastAsia="方正黑体_GBK"/>
          <w:color w:val="auto"/>
          <w:sz w:val="32"/>
          <w:szCs w:val="32"/>
          <w:highlight w:val="none"/>
        </w:rPr>
        <w:outlineLvl w:val="2"/>
      </w:pPr>
      <w:r>
        <w:rPr>
          <w:rFonts w:ascii="宋体" w:hAnsi="宋体"/>
          <w:color w:val="auto"/>
          <w:sz w:val="24"/>
          <w:szCs w:val="21"/>
          <w:highlight w:val="none"/>
        </w:rPr>
        <w:br w:type="page" w:clear="all"/>
      </w:r>
      <w:bookmarkStart w:id="422" w:name="_Toc25718"/>
      <w:r>
        <w:rPr>
          <w:highlight w:val="none"/>
        </w:rPr>
      </w:r>
      <w:bookmarkStart w:id="423" w:name="_Toc15953"/>
      <w:r>
        <w:rPr>
          <w:highlight w:val="none"/>
        </w:rPr>
      </w:r>
      <w:bookmarkStart w:id="424" w:name="_Toc6092"/>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bookmarkEnd w:id="422"/>
      <w:r>
        <w:rPr>
          <w:highlight w:val="none"/>
        </w:rPr>
      </w:r>
      <w:bookmarkEnd w:id="423"/>
      <w:r>
        <w:rPr>
          <w:highlight w:val="none"/>
        </w:rPr>
      </w:r>
      <w:bookmarkEnd w:id="424"/>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rPr>
          <w:highlight w:val="none"/>
        </w:rP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highlight w:val="none"/>
        </w:rP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rPr>
          <w:highlight w:val="none"/>
        </w:rPr>
      </w:r>
    </w:p>
    <w:p>
      <w:pPr>
        <w:ind w:firstLine="480"/>
        <w:pageBreakBefore w:val="0"/>
        <w:spacing w:line="24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rPr>
          <w:highlight w:val="none"/>
        </w:rP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p>
      <w:pPr>
        <w:pageBreakBefore w:val="0"/>
        <w:spacing w:line="240" w:lineRule="auto"/>
        <w:rPr>
          <w:rFonts w:hint="default" w:ascii="宋体" w:hAnsi="宋体"/>
          <w:b/>
          <w:color w:val="auto"/>
          <w:sz w:val="22"/>
          <w:szCs w:val="22"/>
          <w:highlight w:val="none"/>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rPr>
          <w:highlight w:val="none"/>
        </w:rPr>
      </w:r>
    </w:p>
    <w:p>
      <w:pPr>
        <w:pageBreakBefore w:val="0"/>
        <w:spacing w:line="240" w:lineRule="auto"/>
        <w:rPr>
          <w:rFonts w:hint="eastAsia" w:ascii="宋体" w:hAnsi="宋体" w:cs="Times New Roman"/>
          <w:b/>
          <w:bCs/>
          <w:color w:val="auto"/>
          <w:sz w:val="36"/>
          <w:szCs w:val="36"/>
          <w:highlight w:val="none"/>
        </w:rPr>
      </w:pPr>
      <w:r>
        <w:rPr>
          <w:rFonts w:hint="eastAsia" w:ascii="宋体" w:hAnsi="宋体" w:cs="Times New Roman"/>
          <w:b/>
          <w:bCs/>
          <w:color w:val="auto"/>
          <w:sz w:val="36"/>
          <w:szCs w:val="36"/>
          <w:highlight w:val="none"/>
          <w:lang w:val="en-US" w:eastAsia="zh-CN"/>
        </w:rPr>
        <w:t xml:space="preserve">  </w:t>
      </w:r>
      <w:r>
        <w:rPr>
          <w:highlight w:val="none"/>
        </w:rPr>
      </w:r>
    </w:p>
    <w:p>
      <w:pPr>
        <w:pageBreakBefore w:val="0"/>
        <w:spacing w:line="240" w:lineRule="auto"/>
        <w:rPr>
          <w:rFonts w:hint="eastAsia" w:ascii="宋体" w:hAnsi="宋体" w:cs="Times New Roman"/>
          <w:b/>
          <w:bCs/>
          <w:color w:val="auto"/>
          <w:sz w:val="36"/>
          <w:szCs w:val="36"/>
          <w:highlight w:val="none"/>
        </w:rPr>
      </w:pPr>
      <w:r>
        <w:rPr>
          <w:rFonts w:hint="eastAsia" w:ascii="宋体" w:hAnsi="宋体" w:cs="Times New Roman"/>
          <w:b/>
          <w:bCs/>
          <w:color w:val="auto"/>
          <w:sz w:val="36"/>
          <w:szCs w:val="36"/>
          <w:highlight w:val="none"/>
          <w:lang w:val="en-US" w:eastAsia="zh-CN"/>
        </w:rPr>
      </w:r>
      <w:r>
        <w:rPr>
          <w:highlight w:val="none"/>
        </w:rPr>
      </w:r>
    </w:p>
    <w:tbl>
      <w:tblPr>
        <w:tblStyle w:val="1080"/>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rPr>
                <w:highlight w:val="none"/>
              </w:rP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rPr>
                <w:highlight w:val="none"/>
              </w:rPr>
            </w:r>
          </w:p>
        </w:tc>
      </w:tr>
    </w:tbl>
    <w:p>
      <w:pPr>
        <w:pageBreakBefore w:val="0"/>
        <w:spacing w:line="240" w:lineRule="auto"/>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lang w:val="en-US" w:eastAsia="zh-CN"/>
        </w:rPr>
        <w:br w:type="page" w:clear="all"/>
      </w:r>
      <w:r>
        <w:rPr>
          <w:highlight w:val="none"/>
        </w:rPr>
      </w:r>
    </w:p>
    <w:p>
      <w:pPr>
        <w:jc w:val="left"/>
        <w:pageBreakBefore w:val="0"/>
        <w:spacing w:before="145" w:after="145" w:line="240" w:lineRule="auto"/>
        <w:rPr>
          <w:rFonts w:hint="eastAsia" w:ascii="宋体" w:hAnsi="宋体" w:eastAsia="宋体" w:cs="Times New Roman"/>
          <w:b/>
          <w:bCs/>
          <w:color w:val="auto"/>
          <w:sz w:val="36"/>
          <w:szCs w:val="36"/>
          <w:highlight w:val="none"/>
        </w:rPr>
        <w:outlineLvl w:val="2"/>
      </w:pPr>
      <w:r>
        <w:rPr>
          <w:highlight w:val="none"/>
        </w:rPr>
      </w:r>
      <w:bookmarkStart w:id="425" w:name="_Toc11711"/>
      <w:r>
        <w:rPr>
          <w:highlight w:val="none"/>
        </w:rPr>
      </w:r>
      <w:bookmarkStart w:id="426" w:name="_Toc25038"/>
      <w:r>
        <w:rPr>
          <w:highlight w:val="none"/>
        </w:rPr>
      </w:r>
      <w:bookmarkStart w:id="427" w:name="_Toc22595"/>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bookmarkEnd w:id="425"/>
      <w:r>
        <w:rPr>
          <w:highlight w:val="none"/>
        </w:rPr>
      </w:r>
      <w:bookmarkEnd w:id="426"/>
      <w:r>
        <w:rPr>
          <w:highlight w:val="none"/>
        </w:rPr>
      </w:r>
      <w:bookmarkEnd w:id="427"/>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rPr>
          <w:highlight w:val="none"/>
        </w:rPr>
      </w:r>
    </w:p>
    <w:p>
      <w:pPr>
        <w:contextualSpacing/>
        <w:pageBreakBefore w:val="0"/>
        <w:spacing w:line="240" w:lineRule="auto"/>
        <w:rPr>
          <w:rFonts w:hint="eastAsia" w:ascii="Times New Roman" w:hAnsi="Times New Roman" w:eastAsia="方正黑体_GBK"/>
          <w:color w:val="auto"/>
          <w:sz w:val="32"/>
          <w:szCs w:val="32"/>
          <w:highlight w:val="none"/>
        </w:rPr>
        <w:outlineLvl w:val="9"/>
      </w:pPr>
      <w:r>
        <w:rPr>
          <w:rFonts w:hint="eastAsia" w:ascii="Times New Roman" w:hAnsi="Times New Roman" w:eastAsia="方正黑体_GBK"/>
          <w:color w:val="auto"/>
          <w:sz w:val="32"/>
          <w:szCs w:val="32"/>
          <w:highlight w:val="none"/>
          <w:lang w:val="en-US" w:eastAsia="zh-CN"/>
        </w:rPr>
      </w:r>
      <w:bookmarkEnd w:id="404"/>
      <w:r>
        <w:rPr>
          <w:highlight w:val="none"/>
        </w:rPr>
      </w:r>
      <w:bookmarkEnd w:id="405"/>
      <w:r>
        <w:rPr>
          <w:highlight w:val="none"/>
        </w:rPr>
      </w:r>
      <w:bookmarkEnd w:id="406"/>
      <w:r>
        <w:rPr>
          <w:highlight w:val="none"/>
        </w:rPr>
      </w:r>
      <w:r>
        <w:rPr>
          <w:highlight w:val="none"/>
        </w:rP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highlight w:val="none"/>
        </w:rPr>
      </w:r>
      <w:bookmarkStart w:id="428" w:name="_Toc120614284"/>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rPr>
          <w:highlight w:val="none"/>
        </w:rP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rPr>
          <w:highlight w:val="none"/>
        </w:rPr>
      </w:r>
    </w:p>
    <w:p>
      <w:pPr>
        <w:pageBreakBefore w:val="0"/>
        <w:spacing w:line="240" w:lineRule="auto"/>
        <w:tabs>
          <w:tab w:val="left" w:pos="360" w:leader="none"/>
        </w:tabs>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highlight w:val="none"/>
        </w:rPr>
      </w:r>
    </w:p>
    <w:p>
      <w:pPr>
        <w:ind w:firstLine="1200"/>
        <w:pageBreakBefore w:val="0"/>
        <w:spacing w:line="240" w:lineRule="auto"/>
        <w:tabs>
          <w:tab w:val="left" w:pos="36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rPr>
          <w:highlight w:val="none"/>
        </w:rP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highlight w:val="none"/>
        </w:rP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rPr>
          <w:highlight w:val="none"/>
        </w:rP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highlight w:val="none"/>
        </w:rP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rPr>
          <w:highlight w:val="none"/>
        </w:rP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rPr>
          <w:highlight w:val="none"/>
        </w:rP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rPr>
          <w:highlight w:val="none"/>
        </w:rP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rPr>
          <w:highlight w:val="none"/>
        </w:rP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rPr>
          <w:highlight w:val="none"/>
        </w:rP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rPr>
          <w:highlight w:val="none"/>
        </w:rPr>
      </w:r>
    </w:p>
    <w:tbl>
      <w:tblPr>
        <w:tblStyle w:val="1080"/>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rPr>
                <w:highlight w:val="none"/>
              </w:rP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rPr>
                <w:highlight w:val="none"/>
              </w:rPr>
            </w:r>
          </w:p>
        </w:tc>
      </w:tr>
    </w:tbl>
    <w:tbl>
      <w:tblPr>
        <w:tblStyle w:val="1080"/>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rPr>
                <w:highlight w:val="none"/>
              </w:rP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rPr>
                <w:highlight w:val="none"/>
              </w:rP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rPr>
          <w:highlight w:val="none"/>
        </w:rP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rPr>
          <w:highlight w:val="none"/>
        </w:rP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rPr>
          <w:highlight w:val="none"/>
        </w:rPr>
      </w:r>
    </w:p>
    <w:p>
      <w:pPr>
        <w:pageBreakBefore w:val="0"/>
        <w:spacing w:line="240" w:lineRule="auto"/>
        <w:rPr>
          <w:rFonts w:hint="eastAsia" w:ascii="Times New Roman" w:hAnsi="Times New Roman" w:eastAsia="方正黑体_GBK"/>
          <w:color w:val="auto"/>
          <w:sz w:val="32"/>
          <w:szCs w:val="32"/>
          <w:highlight w:val="none"/>
        </w:rPr>
        <w:outlineLvl w:val="2"/>
      </w:pPr>
      <w:r>
        <w:rPr>
          <w:rFonts w:ascii="宋体" w:hAnsi="宋体"/>
          <w:bCs/>
          <w:color w:val="auto"/>
          <w:sz w:val="24"/>
          <w:szCs w:val="21"/>
          <w:highlight w:val="none"/>
        </w:rPr>
        <w:br w:type="page" w:clear="all"/>
      </w:r>
      <w:bookmarkStart w:id="429" w:name="_Toc12501"/>
      <w:r>
        <w:rPr>
          <w:highlight w:val="none"/>
        </w:rPr>
      </w:r>
      <w:bookmarkStart w:id="430" w:name="_Toc15767"/>
      <w:r>
        <w:rPr>
          <w:highlight w:val="none"/>
        </w:rPr>
      </w:r>
      <w:bookmarkStart w:id="431" w:name="_Toc1005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bookmarkEnd w:id="429"/>
      <w:r>
        <w:rPr>
          <w:highlight w:val="none"/>
        </w:rPr>
      </w:r>
      <w:bookmarkEnd w:id="430"/>
      <w:r>
        <w:rPr>
          <w:highlight w:val="none"/>
        </w:rPr>
      </w:r>
      <w:bookmarkEnd w:id="431"/>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rPr>
          <w:highlight w:val="none"/>
        </w:rP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rPr>
          <w:highlight w:val="none"/>
        </w:rPr>
      </w:r>
    </w:p>
    <w:tbl>
      <w:tblPr>
        <w:tblStyle w:val="1080"/>
        <w:tblpPr w:horzAnchor="page" w:tblpXSpec="center" w:vertAnchor="text" w:tblpY="201"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6"/>
        <w:gridCol w:w="2163"/>
        <w:gridCol w:w="2521"/>
        <w:gridCol w:w="1804"/>
        <w:gridCol w:w="2536"/>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rPr>
                <w:highlight w:val="none"/>
              </w:rP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rPr>
                <w:highlight w:val="none"/>
              </w:rP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rPr>
                <w:highlight w:val="none"/>
              </w:rP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rPr>
                <w:highlight w:val="none"/>
              </w:rP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备注</w:t>
            </w:r>
            <w:r>
              <w:rPr>
                <w:highlight w:val="none"/>
              </w:rP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highlight w:val="none"/>
              </w:rP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highlight w:val="none"/>
              </w:rP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highlight w:val="none"/>
              </w:rP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highlight w:val="none"/>
              </w:rP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rPr>
                <w:highlight w:val="none"/>
              </w:rP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rPr>
          <w:highlight w:val="none"/>
        </w:rP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注：</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lang w:eastAsia="zh-CN"/>
        </w:rPr>
        <w:t xml:space="preserve">）</w:t>
      </w:r>
      <w:r>
        <w:rPr>
          <w:rFonts w:hint="eastAsia" w:ascii="宋体" w:hAnsi="宋体"/>
          <w:b/>
          <w:bCs/>
          <w:color w:val="auto"/>
          <w:sz w:val="22"/>
          <w:szCs w:val="22"/>
          <w:highlight w:val="none"/>
          <w:u w:val="single"/>
          <w:lang w:eastAsia="zh-CN"/>
        </w:rPr>
        <w:t xml:space="preserve">注：所有技术指标都应提供有效的佐证材料（如带有广告批准文号的设备彩页、铭牌、技术白皮书、产品使用说明书、注册证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rPr>
          <w:highlight w:val="none"/>
        </w:rP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rPr>
          <w:highlight w:val="none"/>
        </w:rP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rPr>
          <w:highlight w:val="none"/>
        </w:rP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rPr>
          <w:highlight w:val="none"/>
        </w:rP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rPr>
          <w:highlight w:val="none"/>
        </w:rP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rPr>
          <w:highlight w:val="none"/>
        </w:rPr>
      </w:r>
    </w:p>
    <w:p>
      <w:pPr>
        <w:contextualSpacing/>
        <w:pageBreakBefore w:val="0"/>
        <w:spacing w:line="240" w:lineRule="auto"/>
        <w:rPr>
          <w:rFonts w:hint="default" w:ascii="Times New Roman" w:hAnsi="Times New Roman" w:eastAsia="方正黑体_GBK"/>
          <w:color w:val="auto"/>
          <w:sz w:val="32"/>
          <w:szCs w:val="32"/>
          <w:highlight w:val="none"/>
        </w:rPr>
        <w:outlineLvl w:val="2"/>
      </w:pPr>
      <w:r>
        <w:rPr>
          <w:rFonts w:ascii="宋体" w:hAnsi="宋体"/>
          <w:bCs/>
          <w:color w:val="auto"/>
          <w:sz w:val="24"/>
          <w:szCs w:val="21"/>
          <w:highlight w:val="none"/>
        </w:rPr>
        <w:br w:type="page" w:clear="all"/>
      </w:r>
      <w:bookmarkStart w:id="432" w:name="_Toc4198"/>
      <w:r>
        <w:rPr>
          <w:highlight w:val="none"/>
        </w:rPr>
      </w:r>
      <w:bookmarkStart w:id="433" w:name="_Toc25376"/>
      <w:r>
        <w:rPr>
          <w:highlight w:val="none"/>
        </w:rPr>
      </w:r>
      <w:bookmarkStart w:id="434" w:name="_Toc705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bookmarkEnd w:id="432"/>
      <w:r>
        <w:rPr>
          <w:highlight w:val="none"/>
        </w:rPr>
      </w:r>
      <w:bookmarkEnd w:id="433"/>
      <w:r>
        <w:rPr>
          <w:highlight w:val="none"/>
        </w:rPr>
      </w:r>
      <w:bookmarkEnd w:id="434"/>
      <w:r>
        <w:rPr>
          <w:highlight w:val="none"/>
        </w:rPr>
      </w:r>
      <w:r>
        <w:rPr>
          <w:highlight w:val="none"/>
        </w:rPr>
      </w:r>
    </w:p>
    <w:p>
      <w:pPr>
        <w:contextualSpacing/>
        <w:jc w:val="center"/>
        <w:spacing w:line="240" w:lineRule="auto"/>
        <w:rPr>
          <w:rFonts w:hint="eastAsia" w:ascii="宋体" w:hAnsi="宋体"/>
          <w:b/>
          <w:color w:val="auto"/>
          <w:sz w:val="32"/>
          <w:szCs w:val="32"/>
          <w:highlight w:val="none"/>
        </w:rPr>
        <w:outlineLvl w:val="9"/>
      </w:pPr>
      <w:r>
        <w:rPr>
          <w:highlight w:val="none"/>
        </w:rPr>
      </w:r>
      <w:bookmarkStart w:id="435" w:name="_Toc30497"/>
      <w:r>
        <w:rPr>
          <w:highlight w:val="none"/>
        </w:rPr>
      </w:r>
      <w:bookmarkStart w:id="436" w:name="_Toc25120"/>
      <w:r>
        <w:rPr>
          <w:highlight w:val="none"/>
        </w:rPr>
      </w:r>
      <w:bookmarkStart w:id="437" w:name="_Toc161"/>
      <w:r>
        <w:rPr>
          <w:rFonts w:hint="eastAsia" w:ascii="宋体" w:hAnsi="宋体"/>
          <w:b/>
          <w:color w:val="auto"/>
          <w:sz w:val="32"/>
          <w:szCs w:val="32"/>
          <w:highlight w:val="none"/>
          <w:lang w:eastAsia="zh-CN"/>
        </w:rPr>
        <w:t xml:space="preserve">商务</w:t>
      </w:r>
      <w:r>
        <w:rPr>
          <w:rFonts w:hint="eastAsia" w:ascii="宋体" w:hAnsi="宋体"/>
          <w:b/>
          <w:color w:val="auto"/>
          <w:sz w:val="32"/>
          <w:szCs w:val="32"/>
          <w:highlight w:val="none"/>
          <w:lang w:val="en-US" w:eastAsia="zh-CN"/>
        </w:rPr>
        <w:t xml:space="preserve">响应承诺函</w:t>
      </w:r>
      <w:r>
        <w:rPr>
          <w:highlight w:val="none"/>
        </w:rPr>
      </w:r>
    </w:p>
    <w:p>
      <w:pPr>
        <w:contextualSpacing/>
        <w:ind w:firstLine="48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r>
      <w:r>
        <w:rPr>
          <w:highlight w:val="none"/>
        </w:rPr>
      </w:r>
    </w:p>
    <w:p>
      <w:pPr>
        <w:contextualSpacing/>
        <w:ind w:firstLine="480"/>
        <w:spacing w:line="240" w:lineRule="auto"/>
        <w:rPr>
          <w:rFonts w:hint="default"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t xml:space="preserve">致</w:t>
      </w:r>
      <w:r>
        <w:rPr>
          <w:rFonts w:hint="eastAsia" w:ascii="宋体" w:hAnsi="宋体" w:cs="Times New Roman"/>
          <w:bCs/>
          <w:color w:val="auto"/>
          <w:sz w:val="24"/>
          <w:szCs w:val="24"/>
          <w:highlight w:val="none"/>
          <w:lang w:val="en-US" w:eastAsia="zh-CN"/>
        </w:rPr>
        <w:t xml:space="preserve">南通市第二人民医院</w:t>
      </w:r>
      <w:r>
        <w:rPr>
          <w:rFonts w:hint="eastAsia" w:ascii="宋体" w:hAnsi="宋体" w:eastAsia="宋体" w:cs="Times New Roman"/>
          <w:bCs/>
          <w:color w:val="auto"/>
          <w:sz w:val="24"/>
          <w:szCs w:val="24"/>
          <w:highlight w:val="none"/>
          <w:lang w:val="en-US" w:eastAsia="zh-CN"/>
        </w:rPr>
        <w:t xml:space="preserve">：</w:t>
      </w:r>
      <w:r>
        <w:rPr>
          <w:highlight w:val="none"/>
        </w:rPr>
      </w:r>
    </w:p>
    <w:p>
      <w:pPr>
        <w:contextualSpacing/>
        <w:ind w:firstLine="48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t xml:space="preserve">   </w:t>
      </w:r>
      <w:r>
        <w:rPr>
          <w:highlight w:val="none"/>
        </w:rPr>
      </w:r>
    </w:p>
    <w:p>
      <w:pPr>
        <w:ind w:firstLine="960"/>
        <w:rPr>
          <w:rFonts w:hint="eastAsia" w:ascii="宋体" w:hAnsi="宋体" w:eastAsia="宋体" w:cs="Times New Roman"/>
          <w:bCs/>
          <w:color w:val="auto"/>
          <w:sz w:val="24"/>
          <w:szCs w:val="24"/>
          <w:highlight w:val="none"/>
        </w:rPr>
      </w:pPr>
      <w:r>
        <w:rPr>
          <w:rFonts w:hint="eastAsia" w:ascii="宋体" w:hAnsi="宋体" w:eastAsia="宋体" w:cs="宋体"/>
          <w:color w:val="auto"/>
          <w:sz w:val="24"/>
          <w:szCs w:val="24"/>
          <w:highlight w:val="none"/>
          <w:lang w:val="en-US" w:eastAsia="zh-CN"/>
        </w:rPr>
        <w:t xml:space="preserve">我公司郑重声明：完全响应招标文件《第三章项目需求》中</w:t>
      </w:r>
      <w:r>
        <w:rPr>
          <w:rFonts w:hint="eastAsia" w:ascii="宋体" w:hAnsi="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lang w:val="en-US" w:eastAsia="zh-CN"/>
        </w:rPr>
        <w:t xml:space="preserve">商务要求，无任何负偏离。</w:t>
      </w:r>
      <w:r>
        <w:rPr>
          <w:highlight w:val="none"/>
        </w:rPr>
      </w:r>
    </w:p>
    <w:p>
      <w:pPr>
        <w:contextualSpacing/>
        <w:ind w:firstLine="48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r>
      <w:r>
        <w:rPr>
          <w:highlight w:val="none"/>
        </w:rPr>
      </w:r>
    </w:p>
    <w:p>
      <w:pPr>
        <w:contextualSpacing/>
        <w:ind w:firstLine="48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t xml:space="preserve">特此声明！</w:t>
      </w:r>
      <w:r>
        <w:rPr>
          <w:highlight w:val="none"/>
        </w:rP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供应商名称（加盖CA电子公章）：</w:t>
      </w:r>
      <w:r>
        <w:rPr>
          <w:highlight w:val="none"/>
        </w:rP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法定代表人或其授权代表（电子签章或签字）：</w:t>
      </w:r>
      <w:r>
        <w:rPr>
          <w:highlight w:val="none"/>
        </w:rPr>
      </w:r>
    </w:p>
    <w:p>
      <w:pPr>
        <w:contextualSpacing/>
        <w:ind w:firstLine="480"/>
        <w:jc w:val="right"/>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日期：</w:t>
      </w:r>
      <w:r>
        <w:rPr>
          <w:highlight w:val="none"/>
        </w:rPr>
      </w:r>
    </w:p>
    <w:p>
      <w:pPr>
        <w:rPr>
          <w:rFonts w:hint="eastAsia" w:ascii="宋体" w:hAnsi="宋体"/>
          <w:bCs/>
          <w:color w:val="auto"/>
          <w:sz w:val="22"/>
          <w:szCs w:val="22"/>
          <w:highlight w:val="none"/>
        </w:rPr>
      </w:pPr>
      <w:r>
        <w:rPr>
          <w:rFonts w:hint="eastAsia" w:ascii="宋体" w:hAnsi="宋体"/>
          <w:bCs/>
          <w:color w:val="auto"/>
          <w:sz w:val="22"/>
          <w:szCs w:val="22"/>
          <w:highlight w:val="none"/>
        </w:rPr>
        <w:br w:type="page" w:clear="all"/>
      </w:r>
      <w:r>
        <w:rPr>
          <w:highlight w:val="none"/>
        </w:rPr>
      </w:r>
    </w:p>
    <w:p>
      <w:pPr>
        <w:contextualSpacing/>
        <w:pageBreakBefore w:val="0"/>
        <w:spacing w:line="240" w:lineRule="auto"/>
        <w:rPr>
          <w:rFonts w:hint="eastAsia" w:eastAsia="方正黑体_GBK"/>
          <w:color w:val="auto"/>
          <w:sz w:val="32"/>
          <w:szCs w:val="32"/>
          <w:highlight w:val="none"/>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bookmarkEnd w:id="435"/>
      <w:r>
        <w:rPr>
          <w:highlight w:val="none"/>
        </w:rPr>
      </w:r>
      <w:bookmarkEnd w:id="436"/>
      <w:r>
        <w:rPr>
          <w:highlight w:val="none"/>
        </w:rPr>
      </w:r>
      <w:bookmarkEnd w:id="437"/>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rPr>
          <w:highlight w:val="none"/>
        </w:rP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rPr>
          <w:highlight w:val="none"/>
        </w:rPr>
      </w:r>
    </w:p>
    <w:tbl>
      <w:tblPr>
        <w:tblStyle w:val="108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备注</w:t>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highlight w:val="none"/>
              </w:rP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rPr>
          <w:highlight w:val="none"/>
        </w:rP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rPr>
          <w:highlight w:val="none"/>
        </w:rP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rPr>
          <w:highlight w:val="none"/>
        </w:rPr>
      </w:r>
    </w:p>
    <w:p>
      <w:pPr>
        <w:pageBreakBefore w:val="0"/>
        <w:spacing w:line="240" w:lineRule="auto"/>
        <w:rPr>
          <w:rFonts w:hint="eastAsia" w:eastAsia="方正黑体_GBK"/>
          <w:color w:val="auto"/>
          <w:sz w:val="32"/>
          <w:szCs w:val="32"/>
          <w:highlight w:val="none"/>
        </w:rPr>
      </w:pPr>
      <w:r>
        <w:rPr>
          <w:rFonts w:hint="eastAsia" w:eastAsia="方正黑体_GBK"/>
          <w:color w:val="auto"/>
          <w:sz w:val="32"/>
          <w:szCs w:val="32"/>
          <w:highlight w:val="none"/>
          <w:lang w:val="en-US" w:eastAsia="zh-CN"/>
        </w:rPr>
        <w:br w:type="page" w:clear="all"/>
      </w:r>
      <w:r>
        <w:rPr>
          <w:highlight w:val="none"/>
        </w:rPr>
      </w:r>
    </w:p>
    <w:p>
      <w:pPr>
        <w:contextualSpacing/>
        <w:pageBreakBefore w:val="0"/>
        <w:spacing w:line="240" w:lineRule="auto"/>
        <w:rPr>
          <w:rFonts w:hint="eastAsia" w:eastAsia="方正黑体_GBK"/>
          <w:color w:val="auto"/>
          <w:sz w:val="32"/>
          <w:szCs w:val="32"/>
          <w:highlight w:val="none"/>
        </w:rPr>
        <w:outlineLvl w:val="2"/>
      </w:pPr>
      <w:r>
        <w:rPr>
          <w:highlight w:val="none"/>
        </w:rPr>
      </w:r>
      <w:bookmarkStart w:id="438" w:name="_Toc26256"/>
      <w:r>
        <w:rPr>
          <w:highlight w:val="none"/>
        </w:rPr>
      </w:r>
      <w:bookmarkStart w:id="439" w:name="_Toc26515"/>
      <w:r>
        <w:rPr>
          <w:highlight w:val="none"/>
        </w:rPr>
      </w:r>
      <w:bookmarkStart w:id="440" w:name="_Toc2634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bookmarkEnd w:id="438"/>
      <w:r>
        <w:rPr>
          <w:highlight w:val="none"/>
        </w:rPr>
      </w:r>
      <w:bookmarkEnd w:id="439"/>
      <w:r>
        <w:rPr>
          <w:highlight w:val="none"/>
        </w:rPr>
      </w:r>
      <w:bookmarkEnd w:id="440"/>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rPr>
          <w:highlight w:val="none"/>
        </w:rPr>
      </w:r>
    </w:p>
    <w:p>
      <w:pPr>
        <w:pageBreakBefore w:val="0"/>
        <w:spacing w:line="240" w:lineRule="auto"/>
        <w:rPr>
          <w:rFonts w:hint="eastAsia"/>
          <w:color w:val="auto"/>
          <w:highlight w:val="none"/>
        </w:rPr>
      </w:pPr>
      <w:r>
        <w:rPr>
          <w:rFonts w:hint="eastAsia"/>
          <w:color w:val="auto"/>
          <w:highlight w:val="none"/>
          <w:lang w:val="en-US" w:eastAsia="zh-CN"/>
        </w:rPr>
      </w:r>
      <w:r>
        <w:rPr>
          <w:highlight w:val="none"/>
        </w:rP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rPr>
          <w:highlight w:val="none"/>
        </w:rP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rPr>
          <w:highlight w:val="none"/>
        </w:rP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rPr>
          <w:highlight w:val="none"/>
        </w:rPr>
      </w:r>
    </w:p>
    <w:p>
      <w:pPr>
        <w:jc w:val="both"/>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r>
      <w:r>
        <w:rPr>
          <w:highlight w:val="none"/>
        </w:rP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41" w:name="_Toc17439"/>
      <w:r>
        <w:rPr>
          <w:highlight w:val="none"/>
        </w:rPr>
      </w:r>
      <w:bookmarkStart w:id="442" w:name="_Toc18808"/>
      <w:r>
        <w:rPr>
          <w:highlight w:val="none"/>
        </w:rPr>
      </w:r>
      <w:bookmarkStart w:id="443" w:name="_Toc31831"/>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bookmarkEnd w:id="441"/>
      <w:r>
        <w:rPr>
          <w:highlight w:val="none"/>
        </w:rPr>
      </w:r>
      <w:bookmarkEnd w:id="442"/>
      <w:r>
        <w:rPr>
          <w:highlight w:val="none"/>
        </w:rPr>
      </w:r>
      <w:bookmarkEnd w:id="443"/>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分项报价明细表</w:t>
      </w:r>
      <w:r>
        <w:rPr>
          <w:highlight w:val="none"/>
        </w:rP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highlight w:val="none"/>
        </w:rPr>
      </w:r>
    </w:p>
    <w:p>
      <w:pPr>
        <w:pageBreakBefore w:val="0"/>
        <w:spacing w:line="240" w:lineRule="auto"/>
        <w:rPr>
          <w:rFonts w:ascii="仿宋_GB2312" w:hAnsi="宋体" w:eastAsia="仿宋_GB2312"/>
          <w:color w:val="auto"/>
          <w:sz w:val="24"/>
          <w:szCs w:val="24"/>
          <w:highlight w:val="none"/>
        </w:rPr>
      </w:pPr>
      <w:r>
        <w:rPr>
          <w:highlight w:val="none"/>
        </w:rPr>
      </w:r>
      <w:bookmarkStart w:id="444" w:name="_Toc5132"/>
      <w:r>
        <w:rPr>
          <w:highlight w:val="none"/>
        </w:rPr>
      </w:r>
      <w:bookmarkStart w:id="445" w:name="_Toc23475"/>
      <w:r>
        <w:rPr>
          <w:highlight w:val="none"/>
        </w:rPr>
      </w:r>
      <w:bookmarkStart w:id="446" w:name="_Toc16960"/>
      <w:r>
        <w:rPr>
          <w:rFonts w:hint="eastAsia" w:ascii="宋体" w:hAnsi="宋体" w:eastAsia="宋体" w:cs="宋体"/>
          <w:color w:val="auto"/>
          <w:sz w:val="24"/>
          <w:szCs w:val="24"/>
          <w:highlight w:val="none"/>
        </w:rPr>
        <w:t xml:space="preserve">供应商（盖章）</w:t>
      </w:r>
      <w:r>
        <w:rPr>
          <w:rFonts w:hint="eastAsia" w:ascii="仿宋_GB2312" w:hAnsi="宋体" w:eastAsia="仿宋_GB2312"/>
          <w:color w:val="auto"/>
          <w:sz w:val="24"/>
          <w:szCs w:val="24"/>
          <w:highlight w:val="none"/>
        </w:rPr>
        <w:t xml:space="preserve">：</w:t>
      </w:r>
      <w:r>
        <w:rPr>
          <w:highlight w:val="none"/>
        </w:rPr>
      </w:r>
    </w:p>
    <w:tbl>
      <w:tblPr>
        <w:tblStyle w:val="1080"/>
        <w:tblW w:w="9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1161" w:hRule="exact"/>
        </w:trPr>
        <w:tc>
          <w:tcPr>
            <w:tcW w:w="1037"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rPr>
                <w:highlight w:val="none"/>
              </w:rPr>
            </w:r>
          </w:p>
        </w:tc>
        <w:tc>
          <w:tcPr>
            <w:tcW w:w="134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名称</w:t>
            </w:r>
            <w:r>
              <w:rPr>
                <w:highlight w:val="none"/>
              </w:rPr>
            </w:r>
          </w:p>
        </w:tc>
        <w:tc>
          <w:tcPr>
            <w:tcW w:w="121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规格型号</w:t>
            </w:r>
            <w:r>
              <w:rPr>
                <w:highlight w:val="none"/>
              </w:rPr>
            </w:r>
          </w:p>
        </w:tc>
        <w:tc>
          <w:tcPr>
            <w:tcW w:w="1276"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品牌</w:t>
            </w:r>
            <w:r>
              <w:rPr>
                <w:highlight w:val="none"/>
              </w:rPr>
            </w:r>
          </w:p>
        </w:tc>
        <w:tc>
          <w:tcPr>
            <w:tcW w:w="992"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单位</w:t>
            </w:r>
            <w:r>
              <w:rPr>
                <w:highlight w:val="none"/>
              </w:rPr>
            </w:r>
          </w:p>
        </w:tc>
        <w:tc>
          <w:tcPr>
            <w:tcW w:w="85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rPr>
                <w:highlight w:val="none"/>
              </w:rPr>
            </w:r>
          </w:p>
        </w:tc>
        <w:tc>
          <w:tcPr>
            <w:tcW w:w="85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单价</w:t>
            </w:r>
            <w:r>
              <w:rPr>
                <w:highlight w:val="none"/>
              </w:rPr>
            </w:r>
          </w:p>
        </w:tc>
        <w:tc>
          <w:tcPr>
            <w:tcW w:w="85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金额</w:t>
            </w:r>
            <w:r>
              <w:rPr>
                <w:highlight w:val="none"/>
              </w:rPr>
            </w:r>
          </w:p>
        </w:tc>
        <w:tc>
          <w:tcPr>
            <w:tcW w:w="149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eastAsia="宋体" w:cs="Times New Roman"/>
                <w:b/>
                <w:color w:val="auto"/>
                <w:sz w:val="24"/>
                <w:szCs w:val="24"/>
                <w:highlight w:val="none"/>
              </w:rPr>
              <w:t xml:space="preserve">备注</w:t>
            </w:r>
            <w:r>
              <w:rPr>
                <w:highlight w:val="none"/>
              </w:rPr>
            </w:r>
          </w:p>
        </w:tc>
      </w:tr>
      <w:tr>
        <w:trPr>
          <w:cantSplit/>
          <w:trHeight w:val="479"/>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rPr>
                <w:highlight w:val="none"/>
              </w:rP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r>
      <w:tr>
        <w:trPr>
          <w:cantSplit/>
          <w:trHeight w:val="502"/>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rPr>
                <w:highlight w:val="none"/>
              </w:rP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rPr>
                <w:highlight w:val="none"/>
              </w:rP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rPr>
                <w:highlight w:val="none"/>
              </w:rP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r>
      <w:tr>
        <w:trPr>
          <w:cantSplit/>
          <w:trHeight w:val="441"/>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rPr>
                <w:highlight w:val="none"/>
              </w:rPr>
            </w:r>
          </w:p>
        </w:tc>
        <w:tc>
          <w:tcPr>
            <w:gridSpan w:val="8"/>
            <w:tcW w:w="886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rPr>
                <w:highlight w:val="none"/>
              </w:rPr>
            </w:r>
          </w:p>
        </w:tc>
      </w:tr>
    </w:tbl>
    <w:p>
      <w:pPr>
        <w:ind w:left="984" w:hanging="984"/>
        <w:pageBreakBefore w:val="0"/>
        <w:spacing w:line="240" w:lineRule="auto"/>
        <w:rPr>
          <w:rFonts w:ascii="仿宋_GB2312" w:hAnsi="Times New Roman" w:eastAsia="仿宋_GB2312"/>
          <w:b/>
          <w:bCs/>
          <w:color w:val="auto"/>
          <w:sz w:val="28"/>
          <w:szCs w:val="28"/>
          <w:highlight w:val="none"/>
        </w:rPr>
      </w:pPr>
      <w:r>
        <w:rPr>
          <w:rFonts w:ascii="仿宋_GB2312" w:hAnsi="Times New Roman" w:eastAsia="仿宋_GB2312"/>
          <w:b/>
          <w:bCs/>
          <w:color w:val="auto"/>
          <w:sz w:val="28"/>
          <w:szCs w:val="28"/>
          <w:highlight w:val="none"/>
        </w:rPr>
      </w:r>
      <w:r>
        <w:rPr>
          <w:highlight w:val="none"/>
        </w:rPr>
      </w:r>
    </w:p>
    <w:p>
      <w:pPr>
        <w:pageBreakBefore w:val="0"/>
        <w:spacing w:line="240" w:lineRule="auto"/>
        <w:rPr>
          <w:rFonts w:hint="eastAsia" w:ascii="宋体" w:hAnsi="宋体" w:cs="宋体"/>
          <w:b/>
          <w:color w:val="auto"/>
          <w:sz w:val="22"/>
          <w:szCs w:val="22"/>
          <w:highlight w:val="none"/>
        </w:rPr>
        <w:outlineLvl w:val="9"/>
      </w:pPr>
      <w:r>
        <w:rPr>
          <w:rFonts w:hint="eastAsia" w:ascii="宋体" w:hAnsi="宋体" w:cs="宋体"/>
          <w:b/>
          <w:color w:val="auto"/>
          <w:sz w:val="22"/>
          <w:szCs w:val="22"/>
          <w:highlight w:val="none"/>
          <w:lang w:val="zh-CN"/>
        </w:rPr>
      </w:r>
      <w:r>
        <w:rPr>
          <w:highlight w:val="none"/>
        </w:rPr>
      </w:r>
    </w:p>
    <w:p>
      <w:pPr>
        <w:contextualSpacing/>
        <w:ind w:firstLine="440"/>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lang w:val="zh-CN"/>
        </w:rPr>
        <w:t xml:space="preserve">注：</w:t>
      </w:r>
      <w:r>
        <w:rPr>
          <w:highlight w:val="none"/>
        </w:rPr>
      </w:r>
    </w:p>
    <w:p>
      <w:pPr>
        <w:contextualSpacing/>
        <w:ind w:firstLine="440"/>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rPr>
          <w:highlight w:val="none"/>
        </w:rPr>
      </w:r>
    </w:p>
    <w:p>
      <w:pPr>
        <w:contextualSpacing/>
        <w:ind w:firstLine="440"/>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rPr>
          <w:highlight w:val="none"/>
        </w:rPr>
      </w:r>
    </w:p>
    <w:p>
      <w:pPr>
        <w:contextualSpacing/>
        <w:ind w:firstLine="440"/>
        <w:pageBreakBefore w:val="0"/>
        <w:spacing w:line="240" w:lineRule="auto"/>
        <w:rPr>
          <w:rFonts w:hint="default" w:ascii="宋体" w:hAnsi="宋体"/>
          <w:color w:val="auto"/>
          <w:sz w:val="22"/>
          <w:szCs w:val="22"/>
          <w:highlight w:val="none"/>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rPr>
          <w:highlight w:val="none"/>
        </w:rPr>
      </w:r>
    </w:p>
    <w:p>
      <w:pPr>
        <w:contextualSpacing/>
        <w:ind w:firstLine="440"/>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lang w:val="zh-CN"/>
        </w:rPr>
      </w:r>
      <w:r>
        <w:rPr>
          <w:highlight w:val="none"/>
        </w:rP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rPr>
          <w:highlight w:val="none"/>
        </w:rPr>
      </w:r>
    </w:p>
    <w:p>
      <w:pPr>
        <w:jc w:val="both"/>
        <w:pageBreakBefore w:val="0"/>
        <w:spacing w:line="240" w:lineRule="auto"/>
        <w:rPr>
          <w:rFonts w:hint="eastAsia" w:ascii="宋体" w:hAnsi="宋体" w:eastAsia="宋体" w:cs="宋体"/>
          <w:color w:val="auto"/>
          <w:sz w:val="24"/>
          <w:szCs w:val="24"/>
          <w:highlight w:val="none"/>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bookmarkEnd w:id="444"/>
      <w:r>
        <w:rPr>
          <w:highlight w:val="none"/>
        </w:rPr>
      </w:r>
      <w:bookmarkEnd w:id="445"/>
      <w:r>
        <w:rPr>
          <w:highlight w:val="none"/>
        </w:rPr>
      </w:r>
      <w:bookmarkEnd w:id="446"/>
      <w:r>
        <w:rPr>
          <w:rFonts w:hint="eastAsia" w:ascii="Times New Roman" w:hAnsi="Times New Roman" w:eastAsia="方正黑体_GBK"/>
          <w:color w:val="auto"/>
          <w:sz w:val="32"/>
          <w:szCs w:val="32"/>
          <w:highlight w:val="none"/>
          <w:lang w:val="en-US"/>
        </w:rPr>
        <w:t xml:space="preserve">  </w:t>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bidi="zh-CN"/>
        </w:rPr>
      </w:r>
      <w:r>
        <w:rPr>
          <w:highlight w:val="none"/>
        </w:rPr>
      </w:r>
    </w:p>
    <w:p>
      <w:pPr>
        <w:jc w:val="center"/>
        <w:spacing w:line="30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bidi="zh-CN"/>
        </w:rPr>
        <w:t xml:space="preserve">中小企业声明函（货物）</w:t>
      </w:r>
      <w:r>
        <w:rPr>
          <w:highlight w:val="none"/>
        </w:rP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w:t>
      </w:r>
      <w:r>
        <w:rPr>
          <w:rFonts w:hint="eastAsia" w:ascii="宋体" w:hAnsi="宋体" w:eastAsia="宋体" w:cs="宋体"/>
          <w:color w:val="auto"/>
          <w:sz w:val="24"/>
          <w:szCs w:val="24"/>
          <w:highlight w:val="none"/>
          <w:u w:val="single"/>
        </w:rPr>
        <w:t xml:space="preserve">本公司</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rPr>
          <w:highlight w:val="none"/>
        </w:rP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（中型企业、小型企业、微型企业）；</w:t>
      </w:r>
      <w:r>
        <w:rPr>
          <w:highlight w:val="none"/>
        </w:rP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rPr>
          <w:highlight w:val="none"/>
        </w:rP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highlight w:val="none"/>
        </w:rP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highlight w:val="none"/>
        </w:rPr>
      </w:r>
    </w:p>
    <w:p>
      <w:pPr>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bidi="zh-CN"/>
        </w:rPr>
      </w:r>
      <w:r>
        <w:rPr>
          <w:highlight w:val="none"/>
        </w:rPr>
      </w:r>
    </w:p>
    <w:p>
      <w:pPr>
        <w:ind w:firstLine="480"/>
        <w:jc w:val="right"/>
        <w:spacing w:line="360" w:lineRule="auto"/>
        <w:rPr>
          <w:rFonts w:hint="eastAsia" w:ascii="宋体" w:hAnsi="宋体" w:eastAsia="宋体" w:cs="宋体"/>
          <w:color w:val="auto"/>
          <w:sz w:val="24"/>
          <w:szCs w:val="24"/>
          <w:highlight w:val="none"/>
        </w:rPr>
        <w:outlineLvl w:val="9"/>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rPr>
          <w:highlight w:val="none"/>
        </w:rPr>
      </w:r>
    </w:p>
    <w:p>
      <w:pPr>
        <w:ind w:firstLine="48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rPr>
          <w:highlight w:val="none"/>
        </w:rP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zh-CN"/>
        </w:rPr>
      </w:r>
      <w:r>
        <w:rPr>
          <w:highlight w:val="none"/>
        </w:rPr>
      </w:r>
    </w:p>
    <w:p>
      <w:pPr>
        <w:spacing w:line="30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zh-CN"/>
        </w:rPr>
        <w:t xml:space="preserve">注：1.如项目属性为“货物”，请按本表填写。</w:t>
      </w:r>
      <w:r>
        <w:rPr>
          <w:highlight w:val="none"/>
        </w:rPr>
      </w:r>
    </w:p>
    <w:p>
      <w:pPr>
        <w:ind w:firstLine="420"/>
        <w:spacing w:line="30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rPr>
          <w:highlight w:val="none"/>
        </w:rPr>
      </w:r>
    </w:p>
    <w:p>
      <w:pPr>
        <w:spacing w:line="30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zh-CN"/>
        </w:rPr>
        <w:t xml:space="preserve">    3.</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rPr>
          <w:highlight w:val="none"/>
        </w:rP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zh-CN"/>
        </w:rPr>
        <w:t xml:space="preserve">4.中标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rPr>
          <w:highlight w:val="none"/>
        </w:rPr>
      </w:r>
    </w:p>
    <w:p>
      <w:pPr>
        <w:ind w:firstLine="422"/>
        <w:spacing w:line="360" w:lineRule="auto"/>
        <w:rPr>
          <w:rFonts w:hint="default"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bidi="zh-CN"/>
        </w:rPr>
        <w:t xml:space="preserve">5.</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rPr>
          <w:highlight w:val="none"/>
        </w:rPr>
      </w:r>
    </w:p>
    <w:p>
      <w:pPr>
        <w:pStyle w:val="1086"/>
        <w:ind w:left="0" w:firstLine="0"/>
        <w:rPr>
          <w:rFonts w:hint="eastAsia"/>
          <w:color w:val="auto"/>
          <w:highlight w:val="none"/>
        </w:rPr>
      </w:pPr>
      <w:r>
        <w:rPr>
          <w:rFonts w:hint="eastAsia"/>
          <w:color w:val="auto"/>
          <w:highlight w:val="none"/>
        </w:rPr>
      </w:r>
      <w:r>
        <w:rPr>
          <w:highlight w:val="none"/>
        </w:rPr>
      </w:r>
    </w:p>
    <w:p>
      <w:pPr>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bidi="zh-CN"/>
        </w:rPr>
      </w:r>
      <w:r>
        <w:rPr>
          <w:highlight w:val="none"/>
        </w:rPr>
      </w:r>
    </w:p>
    <w:p>
      <w:pPr>
        <w:ind w:firstLine="420"/>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lang w:bidi="zh-CN"/>
        </w:rPr>
      </w:r>
      <w:r>
        <w:rPr>
          <w:highlight w:val="none"/>
        </w:rPr>
      </w:r>
    </w:p>
    <w:p>
      <w:pPr>
        <w:ind w:firstLine="420"/>
        <w:spacing w:line="240" w:lineRule="auto"/>
        <w:rPr>
          <w:rFonts w:hint="default" w:ascii="宋体" w:hAnsi="宋体" w:eastAsia="宋体" w:cs="宋体"/>
          <w:color w:val="auto"/>
          <w:sz w:val="21"/>
          <w:szCs w:val="21"/>
          <w:highlight w:val="none"/>
          <w:shd w:val="clear" w:color="auto" w:fill="auto"/>
        </w:rPr>
        <w:outlineLvl w:val="9"/>
      </w:pPr>
      <w:r>
        <w:rPr>
          <w:rFonts w:hint="eastAsia" w:ascii="宋体" w:hAnsi="宋体" w:cs="宋体"/>
          <w:color w:val="auto"/>
          <w:sz w:val="21"/>
          <w:szCs w:val="21"/>
          <w:highlight w:val="none"/>
          <w:shd w:val="clear" w:color="auto" w:fill="auto"/>
          <w:lang w:val="en-US" w:bidi="zh-CN"/>
        </w:rPr>
        <w:t xml:space="preserve"> </w:t>
      </w:r>
      <w:r>
        <w:rPr>
          <w:highlight w:val="none"/>
        </w:rPr>
      </w:r>
    </w:p>
    <w:p>
      <w:pPr>
        <w:ind w:firstLine="420"/>
        <w:jc w:val="center"/>
        <w:spacing w:line="24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rPr>
          <w:highlight w:val="none"/>
        </w:rP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rPr>
          <w:highlight w:val="none"/>
        </w:rPr>
      </w:r>
    </w:p>
    <w:p>
      <w:pPr>
        <w:pageBreakBefore w:val="0"/>
        <w:spacing w:line="240" w:lineRule="auto"/>
        <w:rPr>
          <w:rFonts w:hint="default" w:ascii="Times New Roman" w:hAnsi="Times New Roman" w:eastAsia="方正黑体_GBK"/>
          <w:color w:val="auto"/>
          <w:sz w:val="32"/>
          <w:szCs w:val="32"/>
          <w:highlight w:val="none"/>
        </w:rPr>
        <w:outlineLvl w:val="2"/>
      </w:pPr>
      <w:r>
        <w:rPr>
          <w:rFonts w:ascii="Times New Roman" w:hAnsi="Times New Roman" w:eastAsia="方正黑体_GBK"/>
          <w:color w:val="auto"/>
          <w:sz w:val="32"/>
          <w:szCs w:val="32"/>
          <w:highlight w:val="none"/>
        </w:rPr>
        <w:br w:type="page" w:clear="all"/>
      </w:r>
      <w:bookmarkStart w:id="447" w:name="_Toc13661"/>
      <w:r>
        <w:rPr>
          <w:highlight w:val="none"/>
        </w:rPr>
      </w:r>
      <w:bookmarkStart w:id="448" w:name="_Toc1462"/>
      <w:r>
        <w:rPr>
          <w:highlight w:val="none"/>
        </w:rPr>
      </w:r>
      <w:bookmarkStart w:id="449" w:name="_Toc451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bookmarkEnd w:id="447"/>
      <w:r>
        <w:rPr>
          <w:highlight w:val="none"/>
        </w:rPr>
      </w:r>
      <w:bookmarkEnd w:id="448"/>
      <w:r>
        <w:rPr>
          <w:highlight w:val="none"/>
        </w:rPr>
      </w:r>
      <w:bookmarkEnd w:id="449"/>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rPr>
          <w:highlight w:val="none"/>
        </w:rP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rPr>
          <w:highlight w:val="none"/>
        </w:rP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pageBreakBefore w:val="0"/>
        <w:spacing w:line="240" w:lineRule="auto"/>
        <w:rPr>
          <w:rFonts w:hint="eastAsia" w:ascii="宋体" w:hAnsi="宋体" w:cs="宋体"/>
          <w:color w:val="auto"/>
          <w:sz w:val="22"/>
          <w:szCs w:val="22"/>
          <w:highlight w:val="none"/>
        </w:rPr>
        <w:outlineLvl w:val="9"/>
      </w:pPr>
      <w:r>
        <w:rPr>
          <w:rFonts w:hint="eastAsia" w:ascii="宋体" w:hAnsi="宋体" w:cs="宋体"/>
          <w:color w:val="auto"/>
          <w:sz w:val="22"/>
          <w:szCs w:val="22"/>
          <w:highlight w:val="none"/>
          <w:lang w:bidi="zh-CN"/>
        </w:rPr>
        <w:t xml:space="preserve">注：1、供应商如不提供此声明函，价格将不做相应扣除。</w:t>
      </w:r>
      <w:r>
        <w:rPr>
          <w:highlight w:val="none"/>
        </w:rP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highlight w:val="none"/>
        </w:rP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rPr>
          <w:highlight w:val="none"/>
        </w:rP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rPr>
          <w:highlight w:val="none"/>
        </w:rP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rPr>
          <w:highlight w:val="none"/>
        </w:rP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rPr>
          <w:highlight w:val="none"/>
        </w:rP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rPr>
          <w:highlight w:val="none"/>
        </w:rPr>
      </w:r>
    </w:p>
    <w:p>
      <w:pPr>
        <w:pageBreakBefore w:val="0"/>
        <w:spacing w:line="240" w:lineRule="auto"/>
        <w:rPr>
          <w:rFonts w:hint="default" w:ascii="Times New Roman" w:hAnsi="Times New Roman" w:eastAsia="方正黑体_GBK"/>
          <w:color w:val="auto"/>
          <w:sz w:val="32"/>
          <w:szCs w:val="32"/>
          <w:highlight w:val="none"/>
        </w:rPr>
        <w:outlineLvl w:val="2"/>
      </w:pPr>
      <w:r>
        <w:rPr>
          <w:rFonts w:ascii="Times New Roman" w:hAnsi="Times New Roman" w:eastAsia="方正黑体_GBK"/>
          <w:color w:val="auto"/>
          <w:sz w:val="32"/>
          <w:szCs w:val="32"/>
          <w:highlight w:val="none"/>
        </w:rPr>
        <w:br w:type="page" w:clear="all"/>
      </w:r>
      <w:bookmarkStart w:id="450" w:name="_Toc5618"/>
      <w:r>
        <w:rPr>
          <w:highlight w:val="none"/>
        </w:rPr>
      </w:r>
      <w:bookmarkStart w:id="451" w:name="_Toc23446"/>
      <w:r>
        <w:rPr>
          <w:highlight w:val="none"/>
        </w:rPr>
      </w:r>
      <w:bookmarkStart w:id="452" w:name="_Toc32019"/>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bookmarkEnd w:id="450"/>
      <w:r>
        <w:rPr>
          <w:highlight w:val="none"/>
        </w:rPr>
      </w:r>
      <w:bookmarkEnd w:id="451"/>
      <w:r>
        <w:rPr>
          <w:highlight w:val="none"/>
        </w:rPr>
      </w:r>
      <w:bookmarkEnd w:id="452"/>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rPr>
          <w:highlight w:val="none"/>
        </w:rP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rPr>
          <w:highlight w:val="none"/>
        </w:rP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highlight w:val="none"/>
        </w:rP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rPr>
          <w:highlight w:val="none"/>
        </w:rP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rPr>
          <w:highlight w:val="none"/>
        </w:rP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rPr>
          <w:highlight w:val="none"/>
        </w:rP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rPr>
          <w:highlight w:val="none"/>
        </w:rP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rPr>
          <w:highlight w:val="none"/>
        </w:rP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rPr>
          <w:highlight w:val="none"/>
        </w:rP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rPr>
          <w:highlight w:val="none"/>
        </w:rP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rPr>
          <w:highlight w:val="none"/>
        </w:rP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rPr>
          <w:highlight w:val="none"/>
        </w:rP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rPr>
          <w:highlight w:val="none"/>
        </w:rP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rPr>
          <w:highlight w:val="none"/>
        </w:rP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rPr>
          <w:highlight w:val="none"/>
        </w:rPr>
      </w:r>
    </w:p>
    <w:p>
      <w:pPr>
        <w:contextualSpacing/>
        <w:jc w:val="left"/>
        <w:pageBreakBefore w:val="0"/>
        <w:spacing w:line="240" w:lineRule="auto"/>
        <w:rPr>
          <w:rFonts w:hint="eastAsia" w:ascii="宋体" w:hAnsi="宋体" w:eastAsia="宋体" w:cs="宋体"/>
          <w:color w:val="auto"/>
          <w:sz w:val="24"/>
          <w:szCs w:val="24"/>
          <w:highlight w:val="none"/>
        </w:rPr>
        <w:outlineLvl w:val="2"/>
      </w:pPr>
      <w:r>
        <w:rPr>
          <w:highlight w:val="none"/>
        </w:rPr>
      </w:r>
      <w:bookmarkStart w:id="453" w:name="_Toc13312"/>
      <w:r>
        <w:rPr>
          <w:highlight w:val="none"/>
        </w:rPr>
      </w:r>
      <w:bookmarkStart w:id="454" w:name="_Toc21785"/>
      <w:r>
        <w:rPr>
          <w:highlight w:val="none"/>
        </w:rPr>
      </w:r>
      <w:bookmarkStart w:id="455" w:name="_Toc2694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bookmarkEnd w:id="453"/>
      <w:r>
        <w:rPr>
          <w:highlight w:val="none"/>
        </w:rPr>
      </w:r>
      <w:bookmarkEnd w:id="454"/>
      <w:r>
        <w:rPr>
          <w:highlight w:val="none"/>
        </w:rPr>
      </w:r>
      <w:bookmarkEnd w:id="455"/>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rPr>
          <w:highlight w:val="none"/>
        </w:rP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rPr>
          <w:highlight w:val="none"/>
        </w:rP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rPr>
          <w:highlight w:val="none"/>
        </w:rP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none"/>
        </w:rP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highlight w:val="none"/>
        </w:rP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rPr>
          <w:highlight w:val="none"/>
        </w:rP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rPr>
          <w:highlight w:val="none"/>
        </w:rP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bookmarkStart w:id="456" w:name="_Toc24729"/>
      <w:r>
        <w:rPr>
          <w:highlight w:val="none"/>
        </w:rPr>
      </w:r>
      <w:r>
        <w:rPr>
          <w:highlight w:val="none"/>
        </w:rPr>
      </w:r>
    </w:p>
    <w:p>
      <w:pPr>
        <w:pageBreakBefore w:val="0"/>
        <w:spacing w:line="240" w:lineRule="auto"/>
        <w:rPr>
          <w:rFonts w:hint="eastAsia" w:ascii="宋体" w:hAnsi="宋体" w:eastAsia="宋体" w:cs="宋体"/>
          <w:bCs/>
          <w:color w:val="auto"/>
          <w:sz w:val="32"/>
          <w:szCs w:val="32"/>
          <w:highlight w:val="none"/>
        </w:rPr>
        <w:outlineLvl w:val="2"/>
      </w:pPr>
      <w:r>
        <w:rPr>
          <w:rFonts w:hint="eastAsia" w:ascii="宋体" w:hAnsi="宋体" w:eastAsia="宋体" w:cs="宋体"/>
          <w:bCs/>
          <w:color w:val="auto"/>
          <w:sz w:val="21"/>
          <w:szCs w:val="21"/>
          <w:highlight w:val="none"/>
          <w:lang w:bidi="ar"/>
        </w:rPr>
        <w:br w:type="page" w:clear="all"/>
      </w:r>
      <w:bookmarkStart w:id="457" w:name="_Toc2099"/>
      <w:r>
        <w:rPr>
          <w:highlight w:val="none"/>
        </w:rPr>
      </w:r>
      <w:bookmarkStart w:id="458" w:name="_Toc9069"/>
      <w:r>
        <w:rPr>
          <w:highlight w:val="none"/>
        </w:rPr>
      </w:r>
      <w:bookmarkStart w:id="459" w:name="_Toc123"/>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bookmarkEnd w:id="457"/>
      <w:r>
        <w:rPr>
          <w:highlight w:val="none"/>
        </w:rPr>
      </w:r>
      <w:bookmarkEnd w:id="458"/>
      <w:r>
        <w:rPr>
          <w:highlight w:val="none"/>
        </w:rPr>
      </w:r>
      <w:bookmarkEnd w:id="459"/>
      <w:r>
        <w:rPr>
          <w:highlight w:val="none"/>
        </w:rPr>
      </w:r>
      <w:r>
        <w:rPr>
          <w:highlight w:val="none"/>
        </w:rPr>
      </w:r>
    </w:p>
    <w:p>
      <w:pPr>
        <w:pStyle w:val="1104"/>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bookmarkEnd w:id="456"/>
      <w:r>
        <w:rPr>
          <w:highlight w:val="none"/>
        </w:rPr>
      </w:r>
      <w:r>
        <w:rPr>
          <w:highlight w:val="none"/>
        </w:rPr>
      </w:r>
    </w:p>
    <w:p>
      <w:pPr>
        <w:pStyle w:val="1104"/>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rPr>
          <w:highlight w:val="none"/>
        </w:rPr>
      </w:r>
    </w:p>
    <w:p>
      <w:pPr>
        <w:pStyle w:val="1104"/>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rPr>
          <w:highlight w:val="none"/>
        </w:rPr>
      </w:r>
    </w:p>
    <w:p>
      <w:pPr>
        <w:pStyle w:val="1104"/>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rPr>
          <w:highlight w:val="none"/>
        </w:rPr>
      </w:r>
    </w:p>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highlight w:val="none"/>
        </w:rP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rPr>
          <w:highlight w:val="none"/>
        </w:rP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highlight w:val="none"/>
        </w:rPr>
      </w:r>
    </w:p>
    <w:p>
      <w:pPr>
        <w:pageBreakBefore w:val="0"/>
        <w:spacing w:line="240" w:lineRule="auto"/>
        <w:rPr>
          <w:rFonts w:hint="eastAsia" w:ascii="宋体" w:hAnsi="宋体" w:eastAsia="宋体" w:cs="宋体"/>
          <w:bCs/>
          <w:color w:val="auto"/>
          <w:sz w:val="32"/>
          <w:szCs w:val="32"/>
          <w:highlight w:val="none"/>
        </w:rPr>
        <w:outlineLvl w:val="2"/>
      </w:pPr>
      <w:r>
        <w:rPr>
          <w:rFonts w:hint="eastAsia" w:ascii="宋体" w:hAnsi="宋体" w:eastAsia="宋体" w:cs="宋体"/>
          <w:bCs/>
          <w:color w:val="auto"/>
          <w:sz w:val="32"/>
          <w:szCs w:val="32"/>
          <w:highlight w:val="none"/>
          <w:lang w:bidi="ar"/>
        </w:rPr>
        <w:br w:type="page" w:clear="all"/>
      </w:r>
      <w:bookmarkStart w:id="460" w:name="_Toc1288"/>
      <w:r>
        <w:rPr>
          <w:highlight w:val="none"/>
        </w:rPr>
      </w:r>
      <w:bookmarkStart w:id="461" w:name="_Toc13562"/>
      <w:r>
        <w:rPr>
          <w:highlight w:val="none"/>
        </w:rPr>
      </w:r>
      <w:bookmarkStart w:id="462" w:name="_Toc12779"/>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bookmarkEnd w:id="460"/>
      <w:r>
        <w:rPr>
          <w:highlight w:val="none"/>
        </w:rPr>
      </w:r>
      <w:bookmarkEnd w:id="461"/>
      <w:r>
        <w:rPr>
          <w:highlight w:val="none"/>
        </w:rPr>
      </w:r>
      <w:bookmarkEnd w:id="462"/>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highlight w:val="none"/>
        </w:rPr>
      </w:r>
      <w:bookmarkStart w:id="463" w:name="_Toc7575_WPSOffice_Level2"/>
      <w:r>
        <w:rPr>
          <w:highlight w:val="none"/>
        </w:rPr>
      </w:r>
      <w:bookmarkStart w:id="464" w:name="_Toc29358"/>
      <w:r>
        <w:rPr>
          <w:rFonts w:hint="eastAsia" w:ascii="Times New Roman" w:hAnsi="Times New Roman" w:eastAsia="宋体" w:cs="Times New Roman"/>
          <w:b/>
          <w:bCs/>
          <w:color w:val="auto"/>
          <w:sz w:val="28"/>
          <w:szCs w:val="28"/>
          <w:highlight w:val="none"/>
          <w:lang w:val="en-US" w:eastAsia="zh-CN" w:bidi="zh-CN"/>
        </w:rPr>
        <w:t xml:space="preserve">无重大违法行为声明</w:t>
      </w:r>
      <w:bookmarkEnd w:id="463"/>
      <w:r>
        <w:rPr>
          <w:highlight w:val="none"/>
        </w:rPr>
      </w:r>
      <w:bookmarkEnd w:id="464"/>
      <w:r>
        <w:rPr>
          <w:highlight w:val="none"/>
        </w:rPr>
      </w:r>
      <w:r>
        <w:rPr>
          <w:highlight w:val="none"/>
        </w:rPr>
      </w:r>
    </w:p>
    <w:p>
      <w:pPr>
        <w:pStyle w:val="1104"/>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rPr>
          <w:highlight w:val="none"/>
        </w:rPr>
      </w:r>
    </w:p>
    <w:p>
      <w:pPr>
        <w:pStyle w:val="1105"/>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rPr>
          <w:highlight w:val="none"/>
        </w:rPr>
      </w:r>
    </w:p>
    <w:p>
      <w:pPr>
        <w:pStyle w:val="1105"/>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rPr>
          <w:highlight w:val="none"/>
        </w:rPr>
      </w:r>
    </w:p>
    <w:p>
      <w:pPr>
        <w:pStyle w:val="1105"/>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rPr>
          <w:highlight w:val="none"/>
        </w:rPr>
      </w:r>
    </w:p>
    <w:p>
      <w:pPr>
        <w:pStyle w:val="1105"/>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highlight w:val="none"/>
        </w:rP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rPr>
          <w:highlight w:val="none"/>
        </w:rP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highlight w:val="none"/>
        </w:rPr>
      </w:r>
    </w:p>
    <w:p>
      <w:pPr>
        <w:pageBreakBefore w:val="0"/>
        <w:spacing w:line="240" w:lineRule="auto"/>
        <w:rPr>
          <w:rFonts w:hint="eastAsia" w:ascii="Times New Roman" w:hAnsi="Times New Roman" w:eastAsia="方正黑体_GBK"/>
          <w:color w:val="auto"/>
          <w:sz w:val="32"/>
          <w:szCs w:val="32"/>
          <w:highlight w:val="none"/>
        </w:rPr>
        <w:outlineLvl w:val="2"/>
      </w:pPr>
      <w:r>
        <w:rPr>
          <w:rFonts w:hint="eastAsia" w:ascii="宋体" w:hAnsi="宋体" w:eastAsia="宋体" w:cs="宋体"/>
          <w:color w:val="auto"/>
          <w:sz w:val="32"/>
          <w:szCs w:val="32"/>
          <w:highlight w:val="none"/>
        </w:rPr>
        <w:br w:type="page" w:clear="all"/>
      </w:r>
      <w:bookmarkStart w:id="465" w:name="_Toc17121"/>
      <w:r>
        <w:rPr>
          <w:highlight w:val="none"/>
        </w:rPr>
      </w:r>
      <w:bookmarkStart w:id="466" w:name="_Toc16539"/>
      <w:r>
        <w:rPr>
          <w:highlight w:val="none"/>
        </w:rPr>
      </w:r>
      <w:bookmarkStart w:id="467" w:name="_Toc2805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6</w:t>
      </w:r>
      <w:bookmarkEnd w:id="465"/>
      <w:r>
        <w:rPr>
          <w:highlight w:val="none"/>
        </w:rPr>
      </w:r>
      <w:bookmarkEnd w:id="466"/>
      <w:r>
        <w:rPr>
          <w:highlight w:val="none"/>
        </w:rPr>
      </w:r>
      <w:bookmarkEnd w:id="467"/>
      <w:r>
        <w:rPr>
          <w:highlight w:val="none"/>
        </w:rPr>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rPr>
          <w:highlight w:val="none"/>
        </w:rPr>
      </w:r>
    </w:p>
    <w:p>
      <w:pPr>
        <w:pageBreakBefore w:val="0"/>
        <w:spacing w:line="240" w:lineRule="auto"/>
        <w:rPr>
          <w:rFonts w:ascii="宋体" w:hAnsi="宋体" w:cs="仿宋"/>
          <w:bCs/>
          <w:color w:val="auto"/>
          <w:sz w:val="24"/>
          <w:szCs w:val="24"/>
          <w:highlight w:val="none"/>
        </w:rPr>
        <w:outlineLvl w:val="9"/>
      </w:pPr>
      <w:r>
        <w:rPr>
          <w:highlight w:val="none"/>
        </w:rPr>
      </w:r>
      <w:bookmarkStart w:id="468" w:name="_Toc2157"/>
      <w:r>
        <w:rPr>
          <w:rFonts w:hint="eastAsia" w:ascii="宋体" w:hAnsi="宋体" w:cs="仿宋"/>
          <w:bCs/>
          <w:color w:val="auto"/>
          <w:sz w:val="24"/>
          <w:szCs w:val="24"/>
          <w:highlight w:val="none"/>
        </w:rPr>
        <w:t xml:space="preserve">一、质疑供应商基本信息</w:t>
      </w:r>
      <w:bookmarkEnd w:id="468"/>
      <w:r>
        <w:rPr>
          <w:highlight w:val="none"/>
        </w:rPr>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bCs/>
          <w:color w:val="auto"/>
          <w:sz w:val="24"/>
          <w:szCs w:val="24"/>
          <w:highlight w:val="none"/>
        </w:rPr>
        <w:outlineLvl w:val="9"/>
      </w:pPr>
      <w:r>
        <w:rPr>
          <w:highlight w:val="none"/>
        </w:rPr>
      </w:r>
      <w:bookmarkStart w:id="469" w:name="_Toc29665"/>
      <w:r>
        <w:rPr>
          <w:rFonts w:hint="eastAsia" w:ascii="宋体" w:hAnsi="宋体" w:cs="仿宋"/>
          <w:bCs/>
          <w:color w:val="auto"/>
          <w:sz w:val="24"/>
          <w:szCs w:val="24"/>
          <w:highlight w:val="none"/>
        </w:rPr>
        <w:t xml:space="preserve">二、质疑项目基本情况</w:t>
      </w:r>
      <w:bookmarkEnd w:id="469"/>
      <w:r>
        <w:rPr>
          <w:highlight w:val="none"/>
        </w:rPr>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bCs/>
          <w:color w:val="auto"/>
          <w:sz w:val="24"/>
          <w:szCs w:val="24"/>
          <w:highlight w:val="none"/>
        </w:rPr>
        <w:outlineLvl w:val="9"/>
      </w:pPr>
      <w:r>
        <w:rPr>
          <w:highlight w:val="none"/>
        </w:rPr>
      </w:r>
      <w:bookmarkStart w:id="470" w:name="_Toc5896"/>
      <w:r>
        <w:rPr>
          <w:rFonts w:hint="eastAsia" w:ascii="宋体" w:hAnsi="宋体" w:cs="仿宋"/>
          <w:bCs/>
          <w:color w:val="auto"/>
          <w:sz w:val="24"/>
          <w:szCs w:val="24"/>
          <w:highlight w:val="none"/>
        </w:rPr>
        <w:t xml:space="preserve">三、质疑事项具体内容</w:t>
      </w:r>
      <w:bookmarkEnd w:id="470"/>
      <w:r>
        <w:rPr>
          <w:highlight w:val="none"/>
        </w:rPr>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rPr>
          <w:highlight w:val="none"/>
        </w:rP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rPr>
          <w:highlight w:val="none"/>
        </w:rPr>
      </w:r>
    </w:p>
    <w:p>
      <w:pPr>
        <w:pageBreakBefore w:val="0"/>
        <w:spacing w:line="240" w:lineRule="auto"/>
        <w:rPr>
          <w:rFonts w:ascii="宋体" w:hAnsi="宋体" w:cs="仿宋"/>
          <w:bCs/>
          <w:color w:val="auto"/>
          <w:sz w:val="24"/>
          <w:szCs w:val="24"/>
          <w:highlight w:val="none"/>
        </w:rPr>
        <w:outlineLvl w:val="9"/>
      </w:pPr>
      <w:r>
        <w:rPr>
          <w:highlight w:val="none"/>
        </w:rPr>
      </w:r>
      <w:bookmarkStart w:id="471" w:name="_Toc31417"/>
      <w:r>
        <w:rPr>
          <w:rFonts w:hint="eastAsia" w:ascii="宋体" w:hAnsi="宋体" w:cs="仿宋"/>
          <w:bCs/>
          <w:color w:val="auto"/>
          <w:sz w:val="24"/>
          <w:szCs w:val="24"/>
          <w:highlight w:val="none"/>
        </w:rPr>
        <w:t xml:space="preserve">四、与质疑事项相关的质疑请求</w:t>
      </w:r>
      <w:bookmarkEnd w:id="471"/>
      <w:r>
        <w:rPr>
          <w:highlight w:val="none"/>
        </w:rPr>
      </w:r>
      <w:r>
        <w:rPr>
          <w:highlight w:val="none"/>
        </w:rP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rPr>
          <w:highlight w:val="none"/>
        </w:rP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rPr>
          <w:highlight w:val="none"/>
        </w:rP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rPr>
          <w:highlight w:val="none"/>
        </w:rP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rPr>
          <w:highlight w:val="none"/>
        </w:rP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rPr>
          <w:highlight w:val="none"/>
        </w:rPr>
      </w:r>
    </w:p>
    <w:p>
      <w:pPr>
        <w:ind w:firstLine="480"/>
        <w:jc w:val="left"/>
        <w:pageBreakBefore w:val="0"/>
        <w:spacing w:line="240" w:lineRule="auto"/>
        <w:widowControl/>
        <w:rPr>
          <w:rFonts w:ascii="宋体" w:hAnsi="宋体"/>
          <w:color w:val="auto"/>
          <w:sz w:val="24"/>
          <w:szCs w:val="24"/>
          <w:highlight w:val="none"/>
        </w:rPr>
        <w:outlineLvl w:val="9"/>
      </w:pPr>
      <w:r>
        <w:rPr>
          <w:highlight w:val="none"/>
        </w:rPr>
      </w:r>
      <w:bookmarkStart w:id="472" w:name="_Toc12071"/>
      <w:r>
        <w:rPr>
          <w:rFonts w:hint="eastAsia" w:ascii="宋体" w:hAnsi="宋体"/>
          <w:color w:val="auto"/>
          <w:sz w:val="24"/>
          <w:szCs w:val="24"/>
          <w:highlight w:val="none"/>
        </w:rPr>
        <w:t xml:space="preserve">1.供应商提出质疑时，应提交质疑函和必要的证明材料。</w:t>
      </w:r>
      <w:bookmarkEnd w:id="472"/>
      <w:r>
        <w:rPr>
          <w:highlight w:val="none"/>
        </w:rPr>
      </w:r>
      <w:r>
        <w:rPr>
          <w:highlight w:val="none"/>
        </w:rP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rPr>
          <w:highlight w:val="none"/>
        </w:rP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rPr>
          <w:highlight w:val="none"/>
        </w:rP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rPr>
          <w:highlight w:val="none"/>
        </w:rPr>
      </w:r>
    </w:p>
    <w:p>
      <w:pPr>
        <w:ind w:firstLine="480"/>
        <w:jc w:val="left"/>
        <w:pageBreakBefore w:val="0"/>
        <w:spacing w:line="240" w:lineRule="auto"/>
        <w:widowControl/>
        <w:rPr>
          <w:rFonts w:ascii="宋体" w:hAnsi="宋体"/>
          <w:color w:val="auto"/>
          <w:sz w:val="24"/>
          <w:szCs w:val="24"/>
          <w:highlight w:val="none"/>
        </w:rPr>
        <w:outlineLvl w:val="9"/>
      </w:pPr>
      <w:r>
        <w:rPr>
          <w:highlight w:val="none"/>
        </w:rPr>
      </w:r>
      <w:bookmarkStart w:id="473" w:name="_Toc24202"/>
      <w:r>
        <w:rPr>
          <w:rFonts w:hint="eastAsia" w:ascii="宋体" w:hAnsi="宋体"/>
          <w:color w:val="auto"/>
          <w:sz w:val="24"/>
          <w:szCs w:val="24"/>
          <w:highlight w:val="none"/>
        </w:rPr>
        <w:t xml:space="preserve">5.质疑函的质疑请求应与质疑事项相关。</w:t>
      </w:r>
      <w:bookmarkEnd w:id="473"/>
      <w:r>
        <w:rPr>
          <w:highlight w:val="none"/>
        </w:rPr>
      </w:r>
      <w:r>
        <w:rPr>
          <w:highlight w:val="none"/>
        </w:rP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highlight w:val="none"/>
        </w:rP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95"/>
      <w:r>
        <w:rPr>
          <w:highlight w:val="none"/>
        </w:rPr>
      </w:r>
      <w:bookmarkEnd w:id="296"/>
      <w:r>
        <w:rPr>
          <w:highlight w:val="none"/>
        </w:rPr>
      </w:r>
      <w:bookmarkEnd w:id="428"/>
      <w:r>
        <w:rPr>
          <w:highlight w:val="none"/>
        </w:rPr>
      </w:r>
      <w:r>
        <w:rPr>
          <w:highlight w:val="none"/>
        </w:rP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rPr>
          <w:highlight w:val="none"/>
        </w:rPr>
      </w:r>
    </w:p>
    <w:p>
      <w:pPr>
        <w:pageBreakBefore w:val="0"/>
        <w:spacing w:line="240" w:lineRule="auto"/>
        <w:rPr>
          <w:rFonts w:hint="eastAsia" w:ascii="仿宋_GB2312" w:eastAsia="方正黑体_GBK"/>
          <w:b/>
          <w:color w:val="auto"/>
          <w:sz w:val="32"/>
          <w:szCs w:val="32"/>
          <w:highlight w:val="none"/>
        </w:rPr>
        <w:outlineLvl w:val="2"/>
      </w:pPr>
      <w:r>
        <w:rPr>
          <w:highlight w:val="none"/>
        </w:rPr>
      </w:r>
      <w:bookmarkStart w:id="474" w:name="_Toc21909"/>
      <w:r>
        <w:rPr>
          <w:highlight w:val="none"/>
        </w:rPr>
      </w:r>
      <w:bookmarkStart w:id="475" w:name="_Toc26828"/>
      <w:r>
        <w:rPr>
          <w:highlight w:val="none"/>
        </w:rPr>
      </w:r>
      <w:bookmarkStart w:id="476" w:name="_Toc4800"/>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1</w:t>
      </w:r>
      <w:bookmarkEnd w:id="474"/>
      <w:r>
        <w:rPr>
          <w:highlight w:val="none"/>
        </w:rPr>
      </w:r>
      <w:bookmarkEnd w:id="475"/>
      <w:r>
        <w:rPr>
          <w:highlight w:val="none"/>
        </w:rPr>
      </w:r>
      <w:bookmarkEnd w:id="476"/>
      <w:r>
        <w:rPr>
          <w:rFonts w:hint="eastAsia" w:eastAsia="方正黑体_GBK"/>
          <w:color w:val="auto"/>
          <w:sz w:val="32"/>
          <w:szCs w:val="32"/>
          <w:highlight w:val="none"/>
          <w:lang w:val="en-US" w:eastAsia="zh-CN"/>
        </w:rPr>
        <w:t xml:space="preserve">7</w:t>
      </w:r>
      <w:r>
        <w:rPr>
          <w:highlight w:val="none"/>
        </w:rPr>
      </w:r>
    </w:p>
    <w:p>
      <w:pPr>
        <w:jc w:val="center"/>
        <w:pageBreakBefore w:val="0"/>
        <w:spacing w:line="240" w:lineRule="auto"/>
        <w:rPr>
          <w:rFonts w:hint="eastAsia" w:ascii="Times New Roman" w:hAnsi="Times New Roman" w:eastAsia="宋体" w:cs="Times New Roman"/>
          <w:b/>
          <w:bCs/>
          <w:color w:val="auto"/>
          <w:sz w:val="28"/>
          <w:szCs w:val="28"/>
          <w:highlight w:val="none"/>
        </w:rPr>
        <w:outlineLvl w:val="9"/>
      </w:pPr>
      <w:r>
        <w:rPr>
          <w:highlight w:val="none"/>
        </w:rPr>
      </w:r>
      <w:bookmarkStart w:id="477" w:name="_Toc17784"/>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bookmarkEnd w:id="477"/>
      <w:r>
        <w:rPr>
          <w:highlight w:val="none"/>
        </w:rPr>
      </w:r>
      <w:r>
        <w:rPr>
          <w:highlight w:val="none"/>
        </w:rP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rPr>
          <w:highlight w:val="none"/>
        </w:rP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rPr>
          <w:highlight w:val="none"/>
        </w:rP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highlight w:val="none"/>
        </w:rP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rPr>
          <w:highlight w:val="none"/>
        </w:rP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rPr>
          <w:highlight w:val="none"/>
        </w:rPr>
      </w:r>
    </w:p>
    <w:p>
      <w:pPr>
        <w:pageBreakBefore w:val="0"/>
        <w:spacing w:line="240" w:lineRule="auto"/>
        <w:rPr>
          <w:color w:val="auto"/>
          <w:highlight w:val="none"/>
        </w:rPr>
      </w:pPr>
      <w:r>
        <w:rPr>
          <w:color w:val="auto"/>
          <w:highlight w:val="none"/>
        </w:rPr>
      </w:r>
      <w:r>
        <w:rPr>
          <w:highlight w:val="none"/>
        </w:rPr>
      </w:r>
    </w:p>
    <w:sectPr>
      <w:headerReference w:type="default" r:id="rId11"/>
      <w:footerReference w:type="default" r:id="rId16"/>
      <w:footerReference w:type="even" r:id="rId17"/>
      <w:footerReference w:type="first" r:id="rId18"/>
      <w:footnotePr/>
      <w:endnotePr/>
      <w:type w:val="nextPage"/>
      <w:pgSz w:w="11906" w:h="16838" w:orient="portrait"/>
      <w:pgMar w:top="1440" w:right="1080" w:bottom="1440" w:left="1080"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11430</wp:posOffset>
              </wp:positionH>
              <wp:positionV relativeFrom="paragraph">
                <wp:posOffset>0</wp:posOffset>
              </wp:positionV>
              <wp:extent cx="5708650" cy="32448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5708650"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0.9pt;mso-position-horizontal:absolute;mso-position-vertical-relative:text;margin-top:0.0pt;mso-position-vertical:absolute;width:449.5pt;height:25.5pt;mso-wrap-distance-left:9.0pt;mso-wrap-distance-top:0.0pt;mso-wrap-distance-right:9.0pt;mso-wrap-distance-bottom:0.0pt;v-text-anchor:top;visibility:visible;" filled="f" stroked="f" strokeweight="0.50pt">
              <v:textbox inset="0,0,0,0">
                <w:txbxContent>
                  <w:p>
                    <w:pPr>
                      <w:pStyle w:val="1089"/>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10160</wp:posOffset>
              </wp:positionH>
              <wp:positionV relativeFrom="paragraph">
                <wp:posOffset>12065</wp:posOffset>
              </wp:positionV>
              <wp:extent cx="54991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54991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argin-left:0.8pt;mso-position-horizontal:absolute;mso-position-vertical-relative:text;margin-top:0.9pt;mso-position-vertical:absolute;width:433.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-9525</wp:posOffset>
              </wp:positionH>
              <wp:positionV relativeFrom="paragraph">
                <wp:posOffset>0</wp:posOffset>
              </wp:positionV>
              <wp:extent cx="5814695" cy="52514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5814695" cy="5251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59264;o:allowoverlap:true;o:allowincell:true;mso-position-horizontal-relative:margin;margin-left:-0.8pt;mso-position-horizontal:absolute;mso-position-vertical-relative:text;margin-top:0.0pt;mso-position-vertical:absolute;width:457.8pt;height:41.4pt;mso-wrap-distance-left:9.0pt;mso-wrap-distance-top:0.0pt;mso-wrap-distance-right:9.0pt;mso-wrap-distance-bottom:0.0pt;v-text-anchor:top;visibility:visible;" filled="f" stroked="f" strokeweight="0.50pt">
              <v:textbox inset="0,0,0,0">
                <w:txbxContent>
                  <w:p>
                    <w:pPr>
                      <w:pStyle w:val="1089"/>
                      <w:jc w:val="cente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1089"/>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98"/>
      </w:rPr>
      <w:framePr w:wrap="around" w:vAnchor="text" w:hAnchor="margin" w:xAlign="center" w:y="1"/>
    </w:pPr>
    <w:r>
      <w:fldChar w:fldCharType="begin"/>
    </w:r>
    <w:r>
      <w:rPr>
        <w:rStyle w:val="1098"/>
      </w:rPr>
      <w:instrText xml:space="preserve">PAGE  </w:instrText>
    </w:r>
    <w:r>
      <w:fldChar w:fldCharType="separate"/>
    </w:r>
    <w:r>
      <w:rPr>
        <w:rStyle w:val="1098"/>
      </w:rPr>
      <w:t xml:space="preserve">1</w:t>
    </w:r>
    <w:r>
      <w:fldChar w:fldCharType="end"/>
    </w:r>
    <w:r/>
  </w:p>
  <w:p>
    <w:pPr>
      <w:pStyle w:val="108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6"/>
  </w:num>
  <w:num w:numId="5">
    <w:abstractNumId w:val="3"/>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8">
    <w:name w:val="Heading 1 Char"/>
    <w:basedOn w:val="1079"/>
    <w:link w:val="1076"/>
    <w:uiPriority w:val="9"/>
    <w:rPr>
      <w:rFonts w:ascii="Arial" w:hAnsi="Arial" w:eastAsia="Arial" w:cs="Arial"/>
      <w:sz w:val="40"/>
      <w:szCs w:val="40"/>
    </w:rPr>
  </w:style>
  <w:style w:type="character" w:styleId="909">
    <w:name w:val="Heading 2 Char"/>
    <w:basedOn w:val="1079"/>
    <w:link w:val="1077"/>
    <w:uiPriority w:val="9"/>
    <w:rPr>
      <w:rFonts w:ascii="Arial" w:hAnsi="Arial" w:eastAsia="Arial" w:cs="Arial"/>
      <w:sz w:val="34"/>
    </w:rPr>
  </w:style>
  <w:style w:type="paragraph" w:styleId="910">
    <w:name w:val="Heading 3"/>
    <w:basedOn w:val="1075"/>
    <w:next w:val="1075"/>
    <w:link w:val="911"/>
    <w:uiPriority w:val="9"/>
    <w:unhideWhenUsed/>
    <w:qFormat/>
    <w:pPr>
      <w:keepLines/>
      <w:keepNext/>
      <w:spacing w:before="320" w:after="200"/>
      <w:outlineLvl w:val="2"/>
    </w:pPr>
    <w:rPr>
      <w:rFonts w:ascii="Arial" w:hAnsi="Arial" w:eastAsia="Arial" w:cs="Arial"/>
      <w:sz w:val="30"/>
      <w:szCs w:val="30"/>
    </w:rPr>
  </w:style>
  <w:style w:type="character" w:styleId="911">
    <w:name w:val="Heading 3 Char"/>
    <w:basedOn w:val="1079"/>
    <w:link w:val="910"/>
    <w:uiPriority w:val="9"/>
    <w:rPr>
      <w:rFonts w:ascii="Arial" w:hAnsi="Arial" w:eastAsia="Arial" w:cs="Arial"/>
      <w:sz w:val="30"/>
      <w:szCs w:val="30"/>
    </w:rPr>
  </w:style>
  <w:style w:type="character" w:styleId="912">
    <w:name w:val="Heading 4 Char"/>
    <w:basedOn w:val="1079"/>
    <w:link w:val="1078"/>
    <w:uiPriority w:val="9"/>
    <w:rPr>
      <w:rFonts w:ascii="Arial" w:hAnsi="Arial" w:eastAsia="Arial" w:cs="Arial"/>
      <w:b/>
      <w:bCs/>
      <w:sz w:val="26"/>
      <w:szCs w:val="26"/>
    </w:rPr>
  </w:style>
  <w:style w:type="paragraph" w:styleId="913">
    <w:name w:val="Heading 5"/>
    <w:basedOn w:val="1075"/>
    <w:next w:val="1075"/>
    <w:link w:val="914"/>
    <w:uiPriority w:val="9"/>
    <w:unhideWhenUsed/>
    <w:qFormat/>
    <w:pPr>
      <w:keepLines/>
      <w:keepNext/>
      <w:spacing w:before="320" w:after="200"/>
      <w:outlineLvl w:val="4"/>
    </w:pPr>
    <w:rPr>
      <w:rFonts w:ascii="Arial" w:hAnsi="Arial" w:eastAsia="Arial" w:cs="Arial"/>
      <w:b/>
      <w:bCs/>
      <w:sz w:val="24"/>
      <w:szCs w:val="24"/>
    </w:rPr>
  </w:style>
  <w:style w:type="character" w:styleId="914">
    <w:name w:val="Heading 5 Char"/>
    <w:basedOn w:val="1079"/>
    <w:link w:val="913"/>
    <w:uiPriority w:val="9"/>
    <w:rPr>
      <w:rFonts w:ascii="Arial" w:hAnsi="Arial" w:eastAsia="Arial" w:cs="Arial"/>
      <w:b/>
      <w:bCs/>
      <w:sz w:val="24"/>
      <w:szCs w:val="24"/>
    </w:rPr>
  </w:style>
  <w:style w:type="paragraph" w:styleId="915">
    <w:name w:val="Heading 6"/>
    <w:basedOn w:val="1075"/>
    <w:next w:val="1075"/>
    <w:link w:val="916"/>
    <w:uiPriority w:val="9"/>
    <w:unhideWhenUsed/>
    <w:qFormat/>
    <w:pPr>
      <w:keepLines/>
      <w:keepNext/>
      <w:spacing w:before="320" w:after="200"/>
      <w:outlineLvl w:val="5"/>
    </w:pPr>
    <w:rPr>
      <w:rFonts w:ascii="Arial" w:hAnsi="Arial" w:eastAsia="Arial" w:cs="Arial"/>
      <w:b/>
      <w:bCs/>
      <w:sz w:val="22"/>
      <w:szCs w:val="22"/>
    </w:rPr>
  </w:style>
  <w:style w:type="character" w:styleId="916">
    <w:name w:val="Heading 6 Char"/>
    <w:basedOn w:val="1079"/>
    <w:link w:val="915"/>
    <w:uiPriority w:val="9"/>
    <w:rPr>
      <w:rFonts w:ascii="Arial" w:hAnsi="Arial" w:eastAsia="Arial" w:cs="Arial"/>
      <w:b/>
      <w:bCs/>
      <w:sz w:val="22"/>
      <w:szCs w:val="22"/>
    </w:rPr>
  </w:style>
  <w:style w:type="paragraph" w:styleId="917">
    <w:name w:val="Heading 7"/>
    <w:basedOn w:val="1075"/>
    <w:next w:val="1075"/>
    <w:link w:val="918"/>
    <w:uiPriority w:val="9"/>
    <w:unhideWhenUsed/>
    <w:qFormat/>
    <w:pPr>
      <w:keepLines/>
      <w:keepNext/>
      <w:spacing w:before="320" w:after="200"/>
      <w:outlineLvl w:val="6"/>
    </w:pPr>
    <w:rPr>
      <w:rFonts w:ascii="Arial" w:hAnsi="Arial" w:eastAsia="Arial" w:cs="Arial"/>
      <w:b/>
      <w:bCs/>
      <w:i/>
      <w:iCs/>
      <w:sz w:val="22"/>
      <w:szCs w:val="22"/>
    </w:rPr>
  </w:style>
  <w:style w:type="character" w:styleId="918">
    <w:name w:val="Heading 7 Char"/>
    <w:basedOn w:val="1079"/>
    <w:link w:val="917"/>
    <w:uiPriority w:val="9"/>
    <w:rPr>
      <w:rFonts w:ascii="Arial" w:hAnsi="Arial" w:eastAsia="Arial" w:cs="Arial"/>
      <w:b/>
      <w:bCs/>
      <w:i/>
      <w:iCs/>
      <w:sz w:val="22"/>
      <w:szCs w:val="22"/>
    </w:rPr>
  </w:style>
  <w:style w:type="paragraph" w:styleId="919">
    <w:name w:val="Heading 8"/>
    <w:basedOn w:val="1075"/>
    <w:next w:val="1075"/>
    <w:link w:val="920"/>
    <w:uiPriority w:val="9"/>
    <w:unhideWhenUsed/>
    <w:qFormat/>
    <w:pPr>
      <w:keepLines/>
      <w:keepNext/>
      <w:spacing w:before="320" w:after="200"/>
      <w:outlineLvl w:val="7"/>
    </w:pPr>
    <w:rPr>
      <w:rFonts w:ascii="Arial" w:hAnsi="Arial" w:eastAsia="Arial" w:cs="Arial"/>
      <w:i/>
      <w:iCs/>
      <w:sz w:val="22"/>
      <w:szCs w:val="22"/>
    </w:rPr>
  </w:style>
  <w:style w:type="character" w:styleId="920">
    <w:name w:val="Heading 8 Char"/>
    <w:basedOn w:val="1079"/>
    <w:link w:val="919"/>
    <w:uiPriority w:val="9"/>
    <w:rPr>
      <w:rFonts w:ascii="Arial" w:hAnsi="Arial" w:eastAsia="Arial" w:cs="Arial"/>
      <w:i/>
      <w:iCs/>
      <w:sz w:val="22"/>
      <w:szCs w:val="22"/>
    </w:rPr>
  </w:style>
  <w:style w:type="paragraph" w:styleId="921">
    <w:name w:val="Heading 9"/>
    <w:basedOn w:val="1075"/>
    <w:next w:val="1075"/>
    <w:link w:val="922"/>
    <w:uiPriority w:val="9"/>
    <w:unhideWhenUsed/>
    <w:qFormat/>
    <w:pPr>
      <w:keepLines/>
      <w:keepNext/>
      <w:spacing w:before="320" w:after="200"/>
      <w:outlineLvl w:val="8"/>
    </w:pPr>
    <w:rPr>
      <w:rFonts w:ascii="Arial" w:hAnsi="Arial" w:eastAsia="Arial" w:cs="Arial"/>
      <w:i/>
      <w:iCs/>
      <w:sz w:val="21"/>
      <w:szCs w:val="21"/>
    </w:rPr>
  </w:style>
  <w:style w:type="character" w:styleId="922">
    <w:name w:val="Heading 9 Char"/>
    <w:basedOn w:val="1079"/>
    <w:link w:val="921"/>
    <w:uiPriority w:val="9"/>
    <w:rPr>
      <w:rFonts w:ascii="Arial" w:hAnsi="Arial" w:eastAsia="Arial" w:cs="Arial"/>
      <w:i/>
      <w:iCs/>
      <w:sz w:val="21"/>
      <w:szCs w:val="21"/>
    </w:rPr>
  </w:style>
  <w:style w:type="paragraph" w:styleId="923">
    <w:name w:val="No Spacing"/>
    <w:uiPriority w:val="1"/>
    <w:qFormat/>
    <w:pPr>
      <w:spacing w:before="0" w:after="0" w:line="240" w:lineRule="auto"/>
    </w:pPr>
  </w:style>
  <w:style w:type="paragraph" w:styleId="924">
    <w:name w:val="Title"/>
    <w:basedOn w:val="1075"/>
    <w:next w:val="1075"/>
    <w:link w:val="925"/>
    <w:uiPriority w:val="10"/>
    <w:qFormat/>
    <w:pPr>
      <w:contextualSpacing/>
      <w:spacing w:before="300" w:after="200"/>
    </w:pPr>
    <w:rPr>
      <w:sz w:val="48"/>
      <w:szCs w:val="48"/>
    </w:rPr>
  </w:style>
  <w:style w:type="character" w:styleId="925">
    <w:name w:val="Title Char"/>
    <w:basedOn w:val="1079"/>
    <w:link w:val="924"/>
    <w:uiPriority w:val="10"/>
    <w:rPr>
      <w:sz w:val="48"/>
      <w:szCs w:val="48"/>
    </w:rPr>
  </w:style>
  <w:style w:type="paragraph" w:styleId="926">
    <w:name w:val="Subtitle"/>
    <w:basedOn w:val="1075"/>
    <w:next w:val="1075"/>
    <w:link w:val="927"/>
    <w:uiPriority w:val="11"/>
    <w:qFormat/>
    <w:pPr>
      <w:spacing w:before="200" w:after="200"/>
    </w:pPr>
    <w:rPr>
      <w:sz w:val="24"/>
      <w:szCs w:val="24"/>
    </w:rPr>
  </w:style>
  <w:style w:type="character" w:styleId="927">
    <w:name w:val="Subtitle Char"/>
    <w:basedOn w:val="1079"/>
    <w:link w:val="926"/>
    <w:uiPriority w:val="11"/>
    <w:rPr>
      <w:sz w:val="24"/>
      <w:szCs w:val="24"/>
    </w:rPr>
  </w:style>
  <w:style w:type="paragraph" w:styleId="928">
    <w:name w:val="Quote"/>
    <w:basedOn w:val="1075"/>
    <w:next w:val="1075"/>
    <w:link w:val="929"/>
    <w:uiPriority w:val="29"/>
    <w:qFormat/>
    <w:pPr>
      <w:ind w:left="720" w:right="720"/>
    </w:pPr>
    <w:rPr>
      <w:i/>
    </w:rPr>
  </w:style>
  <w:style w:type="character" w:styleId="929">
    <w:name w:val="Quote Char"/>
    <w:link w:val="928"/>
    <w:uiPriority w:val="29"/>
    <w:rPr>
      <w:i/>
    </w:rPr>
  </w:style>
  <w:style w:type="paragraph" w:styleId="930">
    <w:name w:val="Intense Quote"/>
    <w:basedOn w:val="1075"/>
    <w:next w:val="1075"/>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character" w:styleId="932">
    <w:name w:val="Header Char"/>
    <w:basedOn w:val="1079"/>
    <w:link w:val="1091"/>
    <w:uiPriority w:val="99"/>
  </w:style>
  <w:style w:type="character" w:styleId="933">
    <w:name w:val="Footer Char"/>
    <w:basedOn w:val="1079"/>
    <w:link w:val="1089"/>
    <w:uiPriority w:val="99"/>
  </w:style>
  <w:style w:type="paragraph" w:styleId="934">
    <w:name w:val="Caption"/>
    <w:basedOn w:val="1075"/>
    <w:next w:val="1075"/>
    <w:uiPriority w:val="35"/>
    <w:semiHidden/>
    <w:unhideWhenUsed/>
    <w:qFormat/>
    <w:pPr>
      <w:spacing w:line="276" w:lineRule="auto"/>
    </w:pPr>
    <w:rPr>
      <w:b/>
      <w:bCs/>
      <w:color w:val="4f81bd" w:themeColor="accent1"/>
      <w:sz w:val="18"/>
      <w:szCs w:val="18"/>
    </w:rPr>
  </w:style>
  <w:style w:type="character" w:styleId="935">
    <w:name w:val="Caption Char"/>
    <w:basedOn w:val="934"/>
    <w:link w:val="1089"/>
    <w:uiPriority w:val="99"/>
  </w:style>
  <w:style w:type="table" w:styleId="936">
    <w:name w:val="Table Grid Light"/>
    <w:basedOn w:val="10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7">
    <w:name w:val="Plain Table 1"/>
    <w:basedOn w:val="10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10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10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10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10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10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1 Light - Accent 1"/>
    <w:basedOn w:val="10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4">
    <w:name w:val="Grid Table 1 Light - Accent 2"/>
    <w:basedOn w:val="10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5">
    <w:name w:val="Grid Table 1 Light - Accent 3"/>
    <w:basedOn w:val="10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6">
    <w:name w:val="Grid Table 1 Light - Accent 4"/>
    <w:basedOn w:val="10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7">
    <w:name w:val="Grid Table 1 Light - Accent 5"/>
    <w:basedOn w:val="10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8">
    <w:name w:val="Grid Table 1 Light - Accent 6"/>
    <w:basedOn w:val="10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9">
    <w:name w:val="Grid Table 2"/>
    <w:basedOn w:val="10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2 - Accent 1"/>
    <w:basedOn w:val="10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1">
    <w:name w:val="Grid Table 2 - Accent 2"/>
    <w:basedOn w:val="10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2 - Accent 3"/>
    <w:basedOn w:val="10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2 - Accent 4"/>
    <w:basedOn w:val="10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2 - Accent 5"/>
    <w:basedOn w:val="10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5">
    <w:name w:val="Grid Table 2 - Accent 6"/>
    <w:basedOn w:val="10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6">
    <w:name w:val="Grid Table 3"/>
    <w:basedOn w:val="10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1"/>
    <w:basedOn w:val="10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2"/>
    <w:basedOn w:val="10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3"/>
    <w:basedOn w:val="10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4"/>
    <w:basedOn w:val="10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5"/>
    <w:basedOn w:val="10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6"/>
    <w:basedOn w:val="10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basedOn w:val="10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4 - Accent 1"/>
    <w:basedOn w:val="10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5">
    <w:name w:val="Grid Table 4 - Accent 2"/>
    <w:basedOn w:val="10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6">
    <w:name w:val="Grid Table 4 - Accent 3"/>
    <w:basedOn w:val="10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7">
    <w:name w:val="Grid Table 4 - Accent 4"/>
    <w:basedOn w:val="10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8">
    <w:name w:val="Grid Table 4 - Accent 5"/>
    <w:basedOn w:val="10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9">
    <w:name w:val="Grid Table 4 - Accent 6"/>
    <w:basedOn w:val="10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0">
    <w:name w:val="Grid Table 5 Dark"/>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5 Dark- Accent 1"/>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2">
    <w:name w:val="Grid Table 5 Dark - Accent 2"/>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3">
    <w:name w:val="Grid Table 5 Dark - Accent 3"/>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4">
    <w:name w:val="Grid Table 5 Dark- Accent 4"/>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5">
    <w:name w:val="Grid Table 5 Dark - Accent 5"/>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6">
    <w:name w:val="Grid Table 5 Dark - Accent 6"/>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7">
    <w:name w:val="Grid Table 6 Colorful"/>
    <w:basedOn w:val="10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8">
    <w:name w:val="Grid Table 6 Colorful - Accent 1"/>
    <w:basedOn w:val="10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9">
    <w:name w:val="Grid Table 6 Colorful - Accent 2"/>
    <w:basedOn w:val="10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80">
    <w:name w:val="Grid Table 6 Colorful - Accent 3"/>
    <w:basedOn w:val="10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1">
    <w:name w:val="Grid Table 6 Colorful - Accent 4"/>
    <w:basedOn w:val="10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2">
    <w:name w:val="Grid Table 6 Colorful - Accent 5"/>
    <w:basedOn w:val="10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3">
    <w:name w:val="Grid Table 6 Colorful - Accent 6"/>
    <w:basedOn w:val="10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4">
    <w:name w:val="Grid Table 7 Colorful"/>
    <w:basedOn w:val="10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Grid Table 7 Colorful - Accent 1"/>
    <w:basedOn w:val="10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6">
    <w:name w:val="Grid Table 7 Colorful - Accent 2"/>
    <w:basedOn w:val="10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7 Colorful - Accent 3"/>
    <w:basedOn w:val="10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7 Colorful - Accent 4"/>
    <w:basedOn w:val="10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7 Colorful - Accent 5"/>
    <w:basedOn w:val="10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0">
    <w:name w:val="Grid Table 7 Colorful - Accent 6"/>
    <w:basedOn w:val="10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1">
    <w:name w:val="List Table 1 Light"/>
    <w:basedOn w:val="10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name w:val="List Table 1 Light - Accent 1"/>
    <w:basedOn w:val="10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3">
    <w:name w:val="List Table 1 Light - Accent 2"/>
    <w:basedOn w:val="10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4">
    <w:name w:val="List Table 1 Light - Accent 3"/>
    <w:basedOn w:val="10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5">
    <w:name w:val="List Table 1 Light - Accent 4"/>
    <w:basedOn w:val="10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6">
    <w:name w:val="List Table 1 Light - Accent 5"/>
    <w:basedOn w:val="10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7">
    <w:name w:val="List Table 1 Light - Accent 6"/>
    <w:basedOn w:val="10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8">
    <w:name w:val="List Table 2"/>
    <w:basedOn w:val="10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9">
    <w:name w:val="List Table 2 - Accent 1"/>
    <w:basedOn w:val="10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0">
    <w:name w:val="List Table 2 - Accent 2"/>
    <w:basedOn w:val="10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1">
    <w:name w:val="List Table 2 - Accent 3"/>
    <w:basedOn w:val="10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2">
    <w:name w:val="List Table 2 - Accent 4"/>
    <w:basedOn w:val="10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3">
    <w:name w:val="List Table 2 - Accent 5"/>
    <w:basedOn w:val="10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4">
    <w:name w:val="List Table 2 - Accent 6"/>
    <w:basedOn w:val="10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5">
    <w:name w:val="List Table 3"/>
    <w:basedOn w:val="10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3 - Accent 1"/>
    <w:basedOn w:val="10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7">
    <w:name w:val="List Table 3 - Accent 2"/>
    <w:basedOn w:val="10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8">
    <w:name w:val="List Table 3 - Accent 3"/>
    <w:basedOn w:val="10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9">
    <w:name w:val="List Table 3 - Accent 4"/>
    <w:basedOn w:val="10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10">
    <w:name w:val="List Table 3 - Accent 5"/>
    <w:basedOn w:val="10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1">
    <w:name w:val="List Table 3 - Accent 6"/>
    <w:basedOn w:val="10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2">
    <w:name w:val="List Table 4"/>
    <w:basedOn w:val="10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4 - Accent 1"/>
    <w:basedOn w:val="10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4">
    <w:name w:val="List Table 4 - Accent 2"/>
    <w:basedOn w:val="10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5">
    <w:name w:val="List Table 4 - Accent 3"/>
    <w:basedOn w:val="10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6">
    <w:name w:val="List Table 4 - Accent 4"/>
    <w:basedOn w:val="10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7">
    <w:name w:val="List Table 4 - Accent 5"/>
    <w:basedOn w:val="10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8">
    <w:name w:val="List Table 4 - Accent 6"/>
    <w:basedOn w:val="10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9">
    <w:name w:val="List Table 5 Dark"/>
    <w:basedOn w:val="10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1"/>
    <w:basedOn w:val="10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2"/>
    <w:basedOn w:val="10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3"/>
    <w:basedOn w:val="10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4"/>
    <w:basedOn w:val="10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5"/>
    <w:basedOn w:val="10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6"/>
    <w:basedOn w:val="10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basedOn w:val="10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6 Colorful - Accent 1"/>
    <w:basedOn w:val="10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8">
    <w:name w:val="List Table 6 Colorful - Accent 2"/>
    <w:basedOn w:val="10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9">
    <w:name w:val="List Table 6 Colorful - Accent 3"/>
    <w:basedOn w:val="10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30">
    <w:name w:val="List Table 6 Colorful - Accent 4"/>
    <w:basedOn w:val="10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1">
    <w:name w:val="List Table 6 Colorful - Accent 5"/>
    <w:basedOn w:val="10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2">
    <w:name w:val="List Table 6 Colorful - Accent 6"/>
    <w:basedOn w:val="10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3">
    <w:name w:val="List Table 7 Colorful"/>
    <w:basedOn w:val="10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4">
    <w:name w:val="List Table 7 Colorful - Accent 1"/>
    <w:basedOn w:val="10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5">
    <w:name w:val="List Table 7 Colorful - Accent 2"/>
    <w:basedOn w:val="10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6">
    <w:name w:val="List Table 7 Colorful - Accent 3"/>
    <w:basedOn w:val="10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7">
    <w:name w:val="List Table 7 Colorful - Accent 4"/>
    <w:basedOn w:val="10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8">
    <w:name w:val="List Table 7 Colorful - Accent 5"/>
    <w:basedOn w:val="10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9">
    <w:name w:val="List Table 7 Colorful - Accent 6"/>
    <w:basedOn w:val="10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40">
    <w:name w:val="Lined - Accent"/>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Lined - Accent 1"/>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2">
    <w:name w:val="Lined - Accent 2"/>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3">
    <w:name w:val="Lined - Accent 3"/>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4">
    <w:name w:val="Lined - Accent 4"/>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5">
    <w:name w:val="Lined - Accent 5"/>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6">
    <w:name w:val="Lined - Accent 6"/>
    <w:basedOn w:val="10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7">
    <w:name w:val="Bordered &amp; Lined - Accent"/>
    <w:basedOn w:val="10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Bordered &amp; Lined - Accent 1"/>
    <w:basedOn w:val="10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9">
    <w:name w:val="Bordered &amp; Lined - Accent 2"/>
    <w:basedOn w:val="10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0">
    <w:name w:val="Bordered &amp; Lined - Accent 3"/>
    <w:basedOn w:val="10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1">
    <w:name w:val="Bordered &amp; Lined - Accent 4"/>
    <w:basedOn w:val="10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2">
    <w:name w:val="Bordered &amp; Lined - Accent 5"/>
    <w:basedOn w:val="10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3">
    <w:name w:val="Bordered &amp; Lined - Accent 6"/>
    <w:basedOn w:val="10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4">
    <w:name w:val="Bordered"/>
    <w:basedOn w:val="10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5">
    <w:name w:val="Bordered - Accent 1"/>
    <w:basedOn w:val="10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6">
    <w:name w:val="Bordered - Accent 2"/>
    <w:basedOn w:val="10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7">
    <w:name w:val="Bordered - Accent 3"/>
    <w:basedOn w:val="10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8">
    <w:name w:val="Bordered - Accent 4"/>
    <w:basedOn w:val="10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9">
    <w:name w:val="Bordered - Accent 5"/>
    <w:basedOn w:val="10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0">
    <w:name w:val="Bordered - Accent 6"/>
    <w:basedOn w:val="10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1">
    <w:name w:val="footnote text"/>
    <w:basedOn w:val="1075"/>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basedOn w:val="1079"/>
    <w:uiPriority w:val="99"/>
    <w:unhideWhenUsed/>
    <w:rPr>
      <w:vertAlign w:val="superscript"/>
    </w:rPr>
  </w:style>
  <w:style w:type="paragraph" w:styleId="1064">
    <w:name w:val="endnote text"/>
    <w:basedOn w:val="1075"/>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basedOn w:val="1079"/>
    <w:uiPriority w:val="99"/>
    <w:semiHidden/>
    <w:unhideWhenUsed/>
    <w:rPr>
      <w:vertAlign w:val="superscript"/>
    </w:r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76">
    <w:name w:val="Heading 1"/>
    <w:basedOn w:val="1075"/>
    <w:next w:val="1075"/>
    <w:uiPriority w:val="0"/>
    <w:qFormat/>
    <w:pPr>
      <w:ind w:left="100" w:right="100"/>
      <w:keepLines/>
      <w:keepNext/>
      <w:spacing w:before="120" w:after="120"/>
      <w:outlineLvl w:val="0"/>
    </w:pPr>
    <w:rPr>
      <w:b/>
      <w:bCs/>
      <w:szCs w:val="44"/>
    </w:rPr>
  </w:style>
  <w:style w:type="paragraph" w:styleId="1077">
    <w:name w:val="Heading 2"/>
    <w:basedOn w:val="1075"/>
    <w:next w:val="10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8">
    <w:name w:val="Heading 4"/>
    <w:basedOn w:val="1075"/>
    <w:next w:val="1075"/>
    <w:uiPriority w:val="0"/>
    <w:qFormat/>
    <w:pPr>
      <w:keepLines/>
      <w:keepNext/>
      <w:spacing w:before="280" w:after="290" w:line="376" w:lineRule="auto"/>
      <w:outlineLvl w:val="3"/>
    </w:pPr>
    <w:rPr>
      <w:rFonts w:ascii="Arial" w:hAnsi="Arial" w:eastAsia="黑体" w:cs="Arial"/>
      <w:b/>
      <w:bCs/>
      <w:sz w:val="28"/>
      <w:szCs w:val="28"/>
    </w:rPr>
  </w:style>
  <w:style w:type="character" w:styleId="1079" w:default="1">
    <w:name w:val="Default Paragraph Font"/>
    <w:uiPriority w:val="0"/>
    <w:semiHidden/>
    <w:qFormat/>
  </w:style>
  <w:style w:type="table" w:styleId="1080" w:default="1">
    <w:name w:val="Normal Table"/>
    <w:uiPriority w:val="0"/>
    <w:semiHidden/>
    <w:qFormat/>
    <w:tblPr>
      <w:tblCellMar>
        <w:left w:w="108" w:type="dxa"/>
        <w:top w:w="0" w:type="dxa"/>
        <w:right w:w="108" w:type="dxa"/>
        <w:bottom w:w="0" w:type="dxa"/>
      </w:tblCellMar>
    </w:tblPr>
  </w:style>
  <w:style w:type="paragraph" w:styleId="1081">
    <w:name w:val="Note Heading"/>
    <w:basedOn w:val="1075"/>
    <w:next w:val="1075"/>
    <w:uiPriority w:val="99"/>
    <w:qFormat/>
    <w:rPr>
      <w:rFonts w:ascii="Verdana" w:hAnsi="Verdana"/>
      <w:szCs w:val="20"/>
    </w:rPr>
  </w:style>
  <w:style w:type="paragraph" w:styleId="1082">
    <w:name w:val="Normal Indent"/>
    <w:basedOn w:val="1075"/>
    <w:uiPriority w:val="0"/>
    <w:qFormat/>
    <w:pPr>
      <w:ind w:firstLine="420"/>
    </w:pPr>
    <w:rPr>
      <w:sz w:val="20"/>
      <w:szCs w:val="21"/>
    </w:rPr>
  </w:style>
  <w:style w:type="paragraph" w:styleId="1083">
    <w:name w:val="toa heading"/>
    <w:basedOn w:val="1075"/>
    <w:next w:val="1075"/>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84">
    <w:name w:val="Body Text"/>
    <w:basedOn w:val="1075"/>
    <w:next w:val="1075"/>
    <w:uiPriority w:val="1"/>
    <w:qFormat/>
    <w:pPr>
      <w:ind w:left="120"/>
      <w:spacing w:before="150"/>
    </w:pPr>
    <w:rPr>
      <w:sz w:val="24"/>
      <w:szCs w:val="24"/>
    </w:rPr>
  </w:style>
  <w:style w:type="paragraph" w:styleId="1085">
    <w:name w:val="Body Text Indent"/>
    <w:basedOn w:val="1075"/>
    <w:uiPriority w:val="0"/>
    <w:unhideWhenUsed/>
    <w:qFormat/>
    <w:pPr>
      <w:ind w:left="420"/>
      <w:spacing w:after="120"/>
    </w:pPr>
  </w:style>
  <w:style w:type="paragraph" w:styleId="1086">
    <w:name w:val="Block Text"/>
    <w:basedOn w:val="1075"/>
    <w:uiPriority w:val="0"/>
    <w:qFormat/>
    <w:pPr>
      <w:ind w:left="1440" w:right="700"/>
      <w:spacing w:after="120"/>
    </w:pPr>
    <w:rPr>
      <w:rFonts w:ascii="Times New Roman" w:hAnsi="Times New Roman"/>
    </w:rPr>
  </w:style>
  <w:style w:type="paragraph" w:styleId="1087">
    <w:name w:val="toc 3"/>
    <w:basedOn w:val="1075"/>
    <w:next w:val="1075"/>
    <w:uiPriority w:val="0"/>
    <w:qFormat/>
    <w:pPr>
      <w:ind w:left="840"/>
    </w:pPr>
  </w:style>
  <w:style w:type="paragraph" w:styleId="1088">
    <w:name w:val="Plain Text"/>
    <w:basedOn w:val="1075"/>
    <w:uiPriority w:val="0"/>
    <w:qFormat/>
    <w:rPr>
      <w:rFonts w:ascii="宋体" w:hAnsi="Courier New" w:eastAsia="宋体" w:cs="Courier New"/>
      <w:szCs w:val="21"/>
    </w:rPr>
  </w:style>
  <w:style w:type="paragraph" w:styleId="1089">
    <w:name w:val="Footer"/>
    <w:basedOn w:val="1075"/>
    <w:uiPriority w:val="99"/>
    <w:qFormat/>
    <w:pPr>
      <w:jc w:val="left"/>
      <w:tabs>
        <w:tab w:val="center" w:pos="4153" w:leader="none"/>
        <w:tab w:val="right" w:pos="8306" w:leader="none"/>
      </w:tabs>
    </w:pPr>
    <w:rPr>
      <w:rFonts w:ascii="Times New Roman" w:hAnsi="Times New Roman"/>
      <w:sz w:val="18"/>
      <w:szCs w:val="18"/>
    </w:rPr>
  </w:style>
  <w:style w:type="paragraph" w:styleId="1090">
    <w:name w:val="envelope return"/>
    <w:basedOn w:val="1075"/>
    <w:uiPriority w:val="99"/>
    <w:unhideWhenUsed/>
    <w:qFormat/>
    <w:rPr>
      <w:rFonts w:ascii="Arial" w:hAnsi="Arial" w:cs="Arial"/>
    </w:rPr>
  </w:style>
  <w:style w:type="paragraph" w:styleId="1091">
    <w:name w:val="Header"/>
    <w:basedOn w:val="107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92">
    <w:name w:val="toc 1"/>
    <w:basedOn w:val="1075"/>
    <w:next w:val="1075"/>
    <w:uiPriority w:val="0"/>
    <w:qFormat/>
  </w:style>
  <w:style w:type="paragraph" w:styleId="1093">
    <w:name w:val="toc 2"/>
    <w:basedOn w:val="1075"/>
    <w:next w:val="1075"/>
    <w:uiPriority w:val="0"/>
    <w:qFormat/>
    <w:pPr>
      <w:ind w:left="420"/>
    </w:pPr>
  </w:style>
  <w:style w:type="paragraph" w:styleId="1094">
    <w:name w:val="Normal (Web)"/>
    <w:basedOn w:val="1075"/>
    <w:uiPriority w:val="0"/>
    <w:qFormat/>
    <w:pPr>
      <w:ind w:left="0" w:right="0"/>
      <w:jc w:val="left"/>
      <w:spacing w:before="0" w:beforeAutospacing="1" w:after="0" w:afterAutospacing="1"/>
    </w:pPr>
    <w:rPr>
      <w:sz w:val="24"/>
      <w:lang w:val="en-US" w:eastAsia="zh-CN" w:bidi="ar"/>
    </w:rPr>
  </w:style>
  <w:style w:type="paragraph" w:styleId="1095">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1096">
    <w:name w:val="Table Grid"/>
    <w:basedOn w:val="108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7">
    <w:name w:val="Strong"/>
    <w:basedOn w:val="1079"/>
    <w:uiPriority w:val="0"/>
    <w:qFormat/>
    <w:rPr>
      <w:b/>
    </w:rPr>
  </w:style>
  <w:style w:type="character" w:styleId="1098">
    <w:name w:val="page number"/>
    <w:uiPriority w:val="0"/>
    <w:qFormat/>
  </w:style>
  <w:style w:type="character" w:styleId="1099">
    <w:name w:val="Hyperlink"/>
    <w:uiPriority w:val="0"/>
    <w:qFormat/>
    <w:rPr>
      <w:color w:val="0000ff"/>
      <w:u w:val="single"/>
    </w:rPr>
  </w:style>
  <w:style w:type="paragraph" w:styleId="1100">
    <w:name w:val="List Paragraph"/>
    <w:basedOn w:val="1075"/>
    <w:uiPriority w:val="34"/>
    <w:unhideWhenUsed/>
    <w:qFormat/>
    <w:pPr>
      <w:ind w:firstLine="420"/>
    </w:pPr>
  </w:style>
  <w:style w:type="paragraph" w:styleId="1101" w:customStyle="1">
    <w:name w:val="论文正文"/>
    <w:basedOn w:val="1075"/>
    <w:uiPriority w:val="99"/>
    <w:qFormat/>
    <w:pPr>
      <w:ind w:firstLine="200"/>
      <w:spacing w:line="360" w:lineRule="auto"/>
    </w:pPr>
    <w:rPr>
      <w:rFonts w:eastAsia="宋体"/>
    </w:rPr>
  </w:style>
  <w:style w:type="paragraph" w:styleId="110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03" w:customStyle="1">
    <w:name w:val="bot_zi"/>
    <w:basedOn w:val="1079"/>
    <w:uiPriority w:val="0"/>
    <w:qFormat/>
  </w:style>
  <w:style w:type="paragraph" w:styleId="1104"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8" w:customStyle="1">
    <w:name w:val="列出段落1"/>
    <w:basedOn w:val="1075"/>
    <w:uiPriority w:val="0"/>
    <w:qFormat/>
    <w:pPr>
      <w:contextualSpacing/>
      <w:ind w:left="720"/>
      <w:jc w:val="left"/>
      <w:widowControl/>
    </w:pPr>
    <w:rPr>
      <w:rFonts w:ascii="Calibri" w:hAnsi="Calibri"/>
      <w:sz w:val="24"/>
      <w:szCs w:val="24"/>
      <w:lang w:eastAsia="en-US" w:bidi="en-US"/>
    </w:rPr>
  </w:style>
  <w:style w:type="paragraph" w:styleId="1109" w:customStyle="1">
    <w:name w:val="WPSOffice手动目录 1"/>
    <w:uiPriority w:val="0"/>
    <w:qFormat/>
    <w:rPr>
      <w:rFonts w:ascii="Times New Roman" w:hAnsi="Times New Roman" w:eastAsia="宋体" w:cs="Times New Roman"/>
      <w:sz w:val="20"/>
      <w:szCs w:val="20"/>
    </w:rPr>
  </w:style>
  <w:style w:type="paragraph" w:styleId="1110" w:customStyle="1">
    <w:name w:val="WPSOffice手动目录 2"/>
    <w:uiPriority w:val="0"/>
    <w:qFormat/>
    <w:rPr>
      <w:rFonts w:ascii="Times New Roman" w:hAnsi="Times New Roman" w:eastAsia="宋体" w:cs="Times New Roman"/>
      <w:sz w:val="20"/>
      <w:szCs w:val="20"/>
    </w:rPr>
  </w:style>
  <w:style w:type="paragraph" w:styleId="1111" w:customStyle="1">
    <w:name w:val="WPSOffice手动目录 3"/>
    <w:uiPriority w:val="0"/>
    <w:qFormat/>
    <w:rPr>
      <w:rFonts w:ascii="Times New Roman" w:hAnsi="Times New Roman" w:eastAsia="宋体" w:cs="Times New Roman"/>
      <w:sz w:val="20"/>
      <w:szCs w:val="20"/>
    </w:rPr>
  </w:style>
  <w:style w:type="paragraph" w:styleId="1112" w:customStyle="1">
    <w:name w:val="正文首行缩进1"/>
    <w:basedOn w:val="1113"/>
    <w:uiPriority w:val="0"/>
    <w:unhideWhenUsed/>
    <w:qFormat/>
    <w:pPr>
      <w:ind w:firstLine="420"/>
    </w:pPr>
  </w:style>
  <w:style w:type="paragraph" w:styleId="1113" w:customStyle="1">
    <w:name w:val="正文文本11"/>
    <w:basedOn w:val="1075"/>
    <w:next w:val="1114"/>
    <w:uiPriority w:val="0"/>
    <w:qFormat/>
    <w:rPr>
      <w:rFonts w:ascii="楷体_GB2312" w:hAnsi="Arial" w:eastAsia="楷体_GB2312"/>
      <w:sz w:val="28"/>
      <w:szCs w:val="20"/>
    </w:rPr>
  </w:style>
  <w:style w:type="paragraph" w:styleId="1114" w:customStyle="1">
    <w:name w:val="正文文本 21"/>
    <w:basedOn w:val="1075"/>
    <w:uiPriority w:val="99"/>
    <w:qFormat/>
    <w:pPr>
      <w:jc w:val="center"/>
    </w:pPr>
    <w:rPr>
      <w:rFonts w:ascii="仿宋_GB2312" w:eastAsia="仿宋_GB2312"/>
      <w:sz w:val="44"/>
    </w:rPr>
  </w:style>
  <w:style w:type="paragraph" w:styleId="1115" w:customStyle="1">
    <w:name w:val="纯文本1"/>
    <w:basedOn w:val="1075"/>
    <w:uiPriority w:val="0"/>
    <w:qFormat/>
    <w:rPr>
      <w:rFonts w:ascii="宋体" w:hAnsi="Courier New" w:eastAsia="楷体_GB2312"/>
      <w:sz w:val="26"/>
      <w:szCs w:val="22"/>
    </w:rPr>
  </w:style>
  <w:style w:type="paragraph" w:styleId="1116" w:customStyle="1">
    <w:name w:val="首行缩进_0"/>
    <w:basedOn w:val="1117"/>
    <w:uiPriority w:val="0"/>
    <w:qFormat/>
    <w:pPr>
      <w:ind w:firstLine="480"/>
      <w:jc w:val="left"/>
      <w:spacing w:line="360" w:lineRule="auto"/>
    </w:pPr>
    <w:rPr>
      <w:rFonts w:ascii="宋体" w:hAnsi="宋体"/>
      <w:sz w:val="24"/>
    </w:rPr>
  </w:style>
  <w:style w:type="paragraph" w:styleId="1117" w:customStyle="1">
    <w:name w:val="Normal_0"/>
    <w:basedOn w:val="1118"/>
    <w:next w:val="1118"/>
    <w:uiPriority w:val="0"/>
    <w:qFormat/>
    <w:pPr>
      <w:ind w:firstLine="200"/>
      <w:jc w:val="both"/>
      <w:spacing w:line="440" w:lineRule="exact"/>
      <w:widowControl w:val="off"/>
    </w:pPr>
    <w:rPr>
      <w:rFonts w:eastAsia="宋体"/>
      <w:sz w:val="21"/>
    </w:rPr>
  </w:style>
  <w:style w:type="paragraph" w:styleId="1118" w:customStyle="1">
    <w:name w:val="Normal_1"/>
    <w:next w:val="111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9" w:customStyle="1">
    <w:name w:val="首行缩进_0_0"/>
    <w:basedOn w:val="1118"/>
    <w:uiPriority w:val="0"/>
    <w:qFormat/>
    <w:pPr>
      <w:ind w:firstLine="480"/>
      <w:spacing w:line="360" w:lineRule="auto"/>
    </w:pPr>
    <w:rPr>
      <w:rFonts w:ascii="宋体" w:hAnsi="宋体"/>
    </w:rPr>
  </w:style>
  <w:style w:type="paragraph" w:styleId="1120"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21" w:customStyle="1">
    <w:name w:val="Normal_5"/>
    <w:next w:val="111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22" w:customStyle="1">
    <w:name w:val="+正文"/>
    <w:basedOn w:val="1075"/>
    <w:uiPriority w:val="0"/>
    <w:qFormat/>
    <w:pPr>
      <w:ind w:firstLine="200"/>
      <w:spacing w:line="360" w:lineRule="auto"/>
    </w:pPr>
    <w:rPr>
      <w:rFonts w:ascii="Times New Roman" w:hAnsi="Times New Roman"/>
      <w:sz w:val="24"/>
      <w:szCs w:val="28"/>
    </w:rPr>
  </w:style>
  <w:style w:type="paragraph" w:styleId="1123" w:customStyle="1">
    <w:name w:val="彩色列表1"/>
    <w:basedOn w:val="1075"/>
    <w:uiPriority w:val="0"/>
    <w:qFormat/>
    <w:pPr>
      <w:ind w:firstLine="420"/>
    </w:pPr>
  </w:style>
  <w:style w:type="paragraph" w:styleId="1124" w:customStyle="1">
    <w:name w:val="正文文本1"/>
    <w:basedOn w:val="1075"/>
    <w:next w:val="1075"/>
    <w:uiPriority w:val="0"/>
    <w:qFormat/>
    <w:rPr>
      <w:rFonts w:ascii="宋体" w:eastAsia="宋体"/>
      <w:sz w:val="28"/>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f00dfeed-8e89-4294-aa31-311e15110333</errorID>
      <errorWord>：/</errorWord>
      <group>L1_Punc</group>
      <groupName>标点问题</groupName>
      <ability>L2_Punc</ability>
      <abilityName>标点符号检查</abilityName>
      <candidateList>
        <item>：</item>
      </candidateList>
      <explain/>
      <paraID>6C9CA844</paraID>
      <start>6</start>
      <end>8</end>
      <status>ignored</status>
      <modifiedWord/>
      <trackRevisions>false</trackRevisions>
    </reviewItem>
    <reviewItem>
      <errorID>f064a808-873b-4233-9b4f-64eb29234c91</errorID>
      <errorWord>/）</errorWord>
      <group>L1_Punc</group>
      <groupName>标点问题</groupName>
      <ability>L2_Punc</ability>
      <abilityName>标点符号检查</abilityName>
      <candidateList>
        <item>）</item>
      </candidateList>
      <explain/>
      <paraID>7491AE3F</paraID>
      <start>42</start>
      <end>44</end>
      <status>ignored</status>
      <modifiedWord/>
      <trackRevisions>false</trackRevisions>
    </reviewItem>
    <reviewItem>
      <errorID>23d9a988-9655-4da2-bc20-48dfcacd653c</errorID>
      <errorWord>苏</errorWord>
      <group>L1_Word</group>
      <groupName>字词问题</groupName>
      <ability>L2_Typo</ability>
      <abilityName>字词错误</abilityName>
      <candidateList>
        <item>苏省</item>
      </candidateList>
      <explain/>
      <paraID> F3F9057</paraID>
      <start>140</start>
      <end>141</end>
      <status>ignored</status>
      <modifiedWord/>
      <trackRevisions>false</trackRevisions>
    </reviewItem>
    <reviewItem>
      <errorID>a9372d9a-72b7-466e-8a70-d6a380083930</errorID>
      <errorWord>苏</errorWord>
      <group>L1_Word</group>
      <groupName>字词问题</groupName>
      <ability>L2_Typo</ability>
      <abilityName>字词错误</abilityName>
      <candidateList>
        <item>苏省</item>
      </candidateList>
      <explain/>
      <paraID>39128B27</paraID>
      <start>80</start>
      <end>81</end>
      <status>ignored</status>
      <modifiedWord/>
      <trackRevisions>false</trackRevisions>
    </reviewItem>
    <reviewItem>
      <errorID>f6fec1c8-c79a-4c8d-a049-d455808ba96d</errorID>
      <errorWord>（</errorWord>
      <group>L1_Punc</group>
      <groupName>标点问题</groupName>
      <ability>L2_Punc</ability>
      <abilityName>标点符号检查</abilityName>
      <candidateList/>
      <explain>同一形式括号套用。</explain>
      <paraID>5979AD65</paraID>
      <start>36</start>
      <end>37</end>
      <status>ignored</status>
      <modifiedWord/>
      <trackRevisions>false</trackRevisions>
    </reviewItem>
    <reviewItem>
      <errorID>74cefc51-290a-459a-9b88-d377d579f44b</errorID>
      <errorWord>）</errorWord>
      <group>L1_Punc</group>
      <groupName>标点问题</groupName>
      <ability>L2_Punc</ability>
      <abilityName>标点符号检查</abilityName>
      <candidateList/>
      <explain>同一形式括号套用。</explain>
      <paraID>5979AD65</paraID>
      <start>40</start>
      <end>41</end>
      <status>ignored</status>
      <modifiedWord/>
      <trackRevisions>false</trackRevisions>
    </reviewItem>
    <reviewItem>
      <errorID>951df5f6-dcfa-41b0-8b68-a8409fc20368</errorID>
      <errorWord>：/</errorWord>
      <group>L1_Punc</group>
      <groupName>标点问题</groupName>
      <ability>L2_Punc</ability>
      <abilityName>标点符号检查</abilityName>
      <candidateList>
        <item>：</item>
      </candidateList>
      <explain/>
      <paraID>39460E2A</paraID>
      <start>4</start>
      <end>5</end>
      <status>modified</status>
      <modifiedWord>：</modifiedWord>
      <trackRevisions>false</trackRevisions>
    </reviewItem>
    <reviewItem>
      <errorID>e545905d-b1d7-4654-b6f2-bd39b75ffed2</errorID>
      <errorWord>现场勘察</errorWord>
      <group>L1_Word</group>
      <groupName>字词问题</groupName>
      <ability>L2_Typo</ability>
      <abilityName>字词错误</abilityName>
      <candidateList>
        <item>现场勘查</item>
      </candidateList>
      <explain/>
      <paraID>2D3B2672</paraID>
      <start>0</start>
      <end>4</end>
      <status>ignored</status>
      <modifiedWord/>
      <trackRevisions>false</trackRevisions>
    </reviewItem>
    <reviewItem>
      <errorID>ab234d3c-f02e-4389-979c-f3f7a9b42687</errorID>
      <errorWord>》</errorWord>
      <group>L1_Punc</group>
      <groupName>标点问题</groupName>
      <ability>L2_Punc</ability>
      <abilityName>标点符号检查</abilityName>
      <candidateList/>
      <explain/>
      <paraID>337D9AE4</paraID>
      <start>73</start>
      <end>74</end>
      <status>ignored</status>
      <modifiedWord/>
      <trackRevisions>false</trackRevisions>
    </reviewItem>
    <reviewItem>
      <errorID>1c34fe80-c91a-43d5-a402-2cd9e8f14fc7</errorID>
      <errorWord>，</errorWord>
      <group>L1_Word</group>
      <groupName>字词问题</groupName>
      <ability>L2_Typo</ability>
      <abilityName>字词错误</abilityName>
      <candidateList>
        <item>，并</item>
      </candidateList>
      <explain/>
      <paraID>19574C21</paraID>
      <start>90</start>
      <end>91</end>
      <status>ignored</status>
      <modifiedWord/>
      <trackRevisions>false</trackRevisions>
    </reviewItem>
    <reviewItem>
      <errorID>0c6bfeec-2387-4ff9-81e3-03a845b37b79</errorID>
      <errorWord>日</errorWord>
      <group>L1_Word</group>
      <groupName>字词问题</groupName>
      <ability>L2_Typo</ability>
      <abilityName>字词错误</abilityName>
      <candidateList>
        <item>日内</item>
      </candidateList>
      <explain/>
      <paraID>3392BD11</paraID>
      <start>48</start>
      <end>50</end>
      <status>modified</status>
      <modifiedWord>日内</modifiedWord>
      <trackRevisions>false</trackRevisions>
    </reviewItem>
    <reviewItem>
      <errorID>3b2cbf96-ba5b-44be-9bb2-480d86706de6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6D0D0C9B</paraID>
      <start>0</start>
      <end>2</end>
      <status>modified</status>
      <modifiedWord>3.</modifiedWord>
      <trackRevisions>false</trackRevisions>
    </reviewItem>
    <reviewItem>
      <errorID>b5722f02-dc27-4f68-837c-c2ccf79f42e2</errorID>
      <errorWord>《</errorWord>
      <group>L1_Punc</group>
      <groupName>标点问题</groupName>
      <ability>L2_Punc</ability>
      <abilityName>标点符号检查</abilityName>
      <candidateList/>
      <explain>同一形式括号套用。</explain>
      <paraID>474E403C</paraID>
      <start>38</start>
      <end>39</end>
      <status>ignored</status>
      <modifiedWord/>
      <trackRevisions>false</trackRevisions>
    </reviewItem>
    <reviewItem>
      <errorID>6f6b3f4e-7e8c-466e-87d8-d38c31ede45f</errorID>
      <errorWord>》</errorWord>
      <group>L1_Punc</group>
      <groupName>标点问题</groupName>
      <ability>L2_Punc</ability>
      <abilityName>标点符号检查</abilityName>
      <candidateList/>
      <explain>同一形式括号套用。</explain>
      <paraID>474E403C</paraID>
      <start>55</start>
      <end>56</end>
      <status>ignored</status>
      <modifiedWord/>
      <trackRevisions>false</trackRevisions>
    </reviewItem>
    <reviewItem>
      <errorID>b5995f26-fabf-455c-af67-57f6ebd6ab61</errorID>
      <errorWord>《</errorWord>
      <group>L1_Punc</group>
      <groupName>标点问题</groupName>
      <ability>L2_Punc</ability>
      <abilityName>标点符号检查</abilityName>
      <candidateList/>
      <explain>同一形式括号套用。</explain>
      <paraID>474E403C</paraID>
      <start>56</start>
      <end>57</end>
      <status>ignored</status>
      <modifiedWord/>
      <trackRevisions>false</trackRevisions>
    </reviewItem>
    <reviewItem>
      <errorID>57ef5e43-69e7-4b4e-82d6-1582574b9528</errorID>
      <errorWord>》</errorWord>
      <group>L1_Punc</group>
      <groupName>标点问题</groupName>
      <ability>L2_Punc</ability>
      <abilityName>标点符号检查</abilityName>
      <candidateList/>
      <explain>同一形式括号套用。</explain>
      <paraID>474E403C</paraID>
      <start>73</start>
      <end>74</end>
      <status>ignored</status>
      <modifiedWord/>
      <trackRevisions>false</trackRevisions>
    </reviewItem>
    <reviewItem>
      <errorID>de184e16-83ce-4cb6-a265-c8dde72ce4ee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317C5ABB</paraID>
      <start>0</start>
      <end>2</end>
      <status>modified</status>
      <modifiedWord>7.</modifiedWord>
      <trackRevisions>false</trackRevisions>
    </reviewItem>
    <reviewItem>
      <errorID>4f70bd41-c7c3-4f41-bcbf-285de219383b</errorID>
      <errorWord>》</errorWord>
      <group>L1_Word</group>
      <groupName>字词问题</groupName>
      <ability>L2_Typo</ability>
      <abilityName>字词错误</abilityName>
      <candidateList>
        <item>》和</item>
      </candidateList>
      <explain/>
      <paraID>522AF599</paraID>
      <start>42</start>
      <end>43</end>
      <status>ignored</status>
      <modifiedWord/>
      <trackRevisions>false</trackRevisions>
    </reviewItem>
    <reviewItem>
      <errorID>36a2cad7-d3f0-4803-aee7-b65379d2343c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4F5A7F05</paraID>
      <start>21</start>
      <end>22</end>
      <status>ignored</status>
      <modifiedWord/>
      <trackRevisions>false</trackRevisions>
    </reviewItem>
    <reviewItem>
      <errorID>ec2b95b6-e863-4b9b-8c9b-3ed21a32bb3f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63E8C969</paraID>
      <start>54</start>
      <end>55</end>
      <status>ignored</status>
      <modifiedWord/>
      <trackRevisions>false</trackRevisions>
    </reviewItem>
    <reviewItem>
      <errorID>74fa185b-b403-4392-bb64-50180822bc5b</errorID>
      <errorWord>送到</errorWord>
      <group>L1_Word</group>
      <groupName>字词问题</groupName>
      <ability>L2_Typo</ability>
      <abilityName>字词错误</abilityName>
      <candidateList>
        <item>送达</item>
      </candidateList>
      <explain>存在发音相近字词的误用。</explain>
      <paraID>23F5B8DC</paraID>
      <start>30</start>
      <end>32</end>
      <status>modified</status>
      <modifiedWord>送达</modifiedWord>
      <trackRevisions>false</trackRevisions>
    </reviewItem>
    <reviewItem>
      <errorID>46320e36-55d9-43f1-b047-b1a121e30415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266495EB</paraID>
      <start>26</start>
      <end>28</end>
      <status>modified</status>
      <modifiedWord>》《</modifiedWord>
      <trackRevisions>false</trackRevisions>
    </reviewItem>
    <reviewItem>
      <errorID>20872fd2-9c90-4235-9e41-880f09538b51</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527F3556</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9C9F95-D93D-4E18-8FD9-2464E3D857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潘保婕</cp:lastModifiedBy>
  <cp:revision>4</cp:revision>
  <dcterms:created xsi:type="dcterms:W3CDTF">2024-04-24T14:46:00Z</dcterms:created>
  <dcterms:modified xsi:type="dcterms:W3CDTF">2025-12-10T07:58:17Z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E3F4305D1D6F4DF28F26AC47E8ED7278_13</vt:lpwstr>
  </property>
  <property fmtid="{D5CDD505-2E9C-101B-9397-08002B2CF9AE}" pid="4" name="KSOTemplateDocerSaveRecord">
    <vt:lpwstr>eyJoZGlkIjoiNjBmN2E4YmFlMmM3ZWFhOTAyYzg3ZmI1OGZkNzRkNWMiLCJ1c2VySWQiOiI0NTQwNzYzOTEifQ==</vt:lpwstr>
  </property>
</Properties>
</file>